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02D26" w14:textId="3BEC88D0" w:rsidR="005127E9" w:rsidRPr="005127E9" w:rsidRDefault="008C43FE" w:rsidP="005F0B4F">
      <w:pPr>
        <w:spacing w:after="0"/>
        <w:rPr>
          <w:b/>
        </w:rPr>
      </w:pPr>
      <w:r>
        <w:rPr>
          <w:b/>
        </w:rPr>
        <w:t>R</w:t>
      </w:r>
      <w:r w:rsidR="005127E9" w:rsidRPr="005127E9">
        <w:rPr>
          <w:b/>
        </w:rPr>
        <w:t>ationale</w:t>
      </w:r>
    </w:p>
    <w:p w14:paraId="1300F368" w14:textId="272CF535" w:rsidR="005127E9" w:rsidRDefault="005127E9" w:rsidP="005F0B4F">
      <w:pPr>
        <w:spacing w:after="0"/>
      </w:pPr>
      <w:r>
        <w:t xml:space="preserve">Hertfordshire, Suffolk, Bedfordshire, Hearing Advisory Service (HAS) is committed to a policy of protecting the rights and privacy of individuals, including clients, </w:t>
      </w:r>
      <w:proofErr w:type="gramStart"/>
      <w:r>
        <w:t>staff</w:t>
      </w:r>
      <w:proofErr w:type="gramEnd"/>
      <w:r>
        <w:t xml:space="preserve"> and others, in accordance with the </w:t>
      </w:r>
      <w:r w:rsidR="008A6BC2">
        <w:t xml:space="preserve">UK </w:t>
      </w:r>
      <w:r>
        <w:t>General Data Protection Regulation (</w:t>
      </w:r>
      <w:r w:rsidR="00CB7170">
        <w:t xml:space="preserve">UK </w:t>
      </w:r>
      <w:r>
        <w:t>GDPR)</w:t>
      </w:r>
      <w:r w:rsidR="00CB7170">
        <w:t>.</w:t>
      </w:r>
    </w:p>
    <w:p w14:paraId="2686A623" w14:textId="77777777" w:rsidR="005F0B4F" w:rsidRDefault="005F0B4F" w:rsidP="005F0B4F">
      <w:pPr>
        <w:spacing w:after="0"/>
      </w:pPr>
    </w:p>
    <w:p w14:paraId="16A05FE3" w14:textId="77777777" w:rsidR="005127E9" w:rsidRDefault="005127E9" w:rsidP="005F0B4F">
      <w:pPr>
        <w:spacing w:after="0"/>
      </w:pPr>
      <w:r>
        <w:t xml:space="preserve">The new regulatory environment demands higher transparency and accountability in how HAS manage and use personal data. It also </w:t>
      </w:r>
      <w:r w:rsidR="001E180C">
        <w:t>gives</w:t>
      </w:r>
      <w:r>
        <w:t xml:space="preserve"> new and stronger rights for individuals to understand and control that use. </w:t>
      </w:r>
    </w:p>
    <w:p w14:paraId="218B52C5" w14:textId="77777777" w:rsidR="005F0B4F" w:rsidRDefault="005F0B4F" w:rsidP="005F0B4F">
      <w:pPr>
        <w:spacing w:after="0"/>
      </w:pPr>
    </w:p>
    <w:p w14:paraId="78F31818" w14:textId="12478B3F" w:rsidR="005127E9" w:rsidRDefault="005127E9" w:rsidP="005F0B4F">
      <w:pPr>
        <w:spacing w:after="0"/>
      </w:pPr>
      <w:r>
        <w:t xml:space="preserve">The </w:t>
      </w:r>
      <w:r w:rsidR="00CB7170">
        <w:t xml:space="preserve">UK </w:t>
      </w:r>
      <w:r>
        <w:t xml:space="preserve">GDPR contains provisions that HAS will need to be aware of as data controllers, including provisions intended to enhance the protection of personal data. For example, the </w:t>
      </w:r>
      <w:r w:rsidR="00CB7170">
        <w:t xml:space="preserve">UK </w:t>
      </w:r>
      <w:r>
        <w:t xml:space="preserve">GDPR requires that: </w:t>
      </w:r>
    </w:p>
    <w:p w14:paraId="20F04A54" w14:textId="77777777" w:rsidR="005F0B4F" w:rsidRDefault="005F0B4F" w:rsidP="005F0B4F">
      <w:pPr>
        <w:spacing w:after="0"/>
      </w:pPr>
    </w:p>
    <w:p w14:paraId="3D604ADD" w14:textId="77777777" w:rsidR="005127E9" w:rsidRDefault="005127E9" w:rsidP="005F0B4F">
      <w:pPr>
        <w:spacing w:after="0"/>
      </w:pPr>
      <w:r>
        <w:t>We must ensure that our charities privacy notices are written in a clear, plain way that staff</w:t>
      </w:r>
      <w:r w:rsidR="001E180C">
        <w:t xml:space="preserve">, </w:t>
      </w:r>
      <w:proofErr w:type="gramStart"/>
      <w:r w:rsidR="001E180C">
        <w:t>volunteers</w:t>
      </w:r>
      <w:proofErr w:type="gramEnd"/>
      <w:r>
        <w:t xml:space="preserve"> and clients will understand. </w:t>
      </w:r>
    </w:p>
    <w:p w14:paraId="3224CBAA" w14:textId="77777777" w:rsidR="005F0B4F" w:rsidRDefault="005F0B4F" w:rsidP="005F0B4F">
      <w:pPr>
        <w:spacing w:after="0"/>
      </w:pPr>
    </w:p>
    <w:p w14:paraId="48A60842" w14:textId="7E014664" w:rsidR="005127E9" w:rsidRDefault="004F618F" w:rsidP="005F0B4F">
      <w:pPr>
        <w:spacing w:after="0"/>
      </w:pPr>
      <w:r>
        <w:t>H</w:t>
      </w:r>
      <w:r w:rsidR="005127E9">
        <w:t xml:space="preserve">HAS needs to process certain information about its </w:t>
      </w:r>
      <w:proofErr w:type="gramStart"/>
      <w:r w:rsidR="00127158">
        <w:t>individuals</w:t>
      </w:r>
      <w:proofErr w:type="gramEnd"/>
      <w:r w:rsidR="005127E9">
        <w:t xml:space="preserve"> </w:t>
      </w:r>
    </w:p>
    <w:p w14:paraId="24979B1A" w14:textId="77777777" w:rsidR="005127E9" w:rsidRDefault="005127E9" w:rsidP="005F0B4F">
      <w:pPr>
        <w:pStyle w:val="ListParagraph"/>
        <w:numPr>
          <w:ilvl w:val="0"/>
          <w:numId w:val="1"/>
        </w:numPr>
        <w:spacing w:after="0"/>
      </w:pPr>
      <w:r>
        <w:t xml:space="preserve">The recruitment and payment of staff. </w:t>
      </w:r>
    </w:p>
    <w:p w14:paraId="67260717" w14:textId="77777777" w:rsidR="00127158" w:rsidRDefault="00127158" w:rsidP="005F0B4F">
      <w:pPr>
        <w:pStyle w:val="ListParagraph"/>
        <w:numPr>
          <w:ilvl w:val="0"/>
          <w:numId w:val="1"/>
        </w:numPr>
        <w:spacing w:after="0"/>
      </w:pPr>
      <w:r>
        <w:t>Staff files, Volunteer files</w:t>
      </w:r>
      <w:r w:rsidR="001E180C">
        <w:t xml:space="preserve">, </w:t>
      </w:r>
      <w:r w:rsidR="004D0080">
        <w:t>client’s</w:t>
      </w:r>
      <w:r w:rsidR="001E180C">
        <w:t xml:space="preserve"> records.</w:t>
      </w:r>
    </w:p>
    <w:p w14:paraId="38EAE49B" w14:textId="77777777" w:rsidR="00127158" w:rsidRDefault="005127E9" w:rsidP="005F0B4F">
      <w:pPr>
        <w:pStyle w:val="ListParagraph"/>
        <w:numPr>
          <w:ilvl w:val="0"/>
          <w:numId w:val="1"/>
        </w:numPr>
        <w:spacing w:after="0"/>
      </w:pPr>
      <w:r>
        <w:t xml:space="preserve">The administration of </w:t>
      </w:r>
      <w:r w:rsidR="00127158">
        <w:t>schedules and collection of client data</w:t>
      </w:r>
      <w:r>
        <w:t xml:space="preserve">. </w:t>
      </w:r>
    </w:p>
    <w:p w14:paraId="0AA17790" w14:textId="77777777" w:rsidR="005127E9" w:rsidRDefault="005127E9" w:rsidP="005F0B4F">
      <w:pPr>
        <w:pStyle w:val="ListParagraph"/>
        <w:numPr>
          <w:ilvl w:val="0"/>
          <w:numId w:val="1"/>
        </w:numPr>
        <w:spacing w:after="0"/>
      </w:pPr>
      <w:r>
        <w:t xml:space="preserve">Complying with legal obligations to funding bodies and government including local government. </w:t>
      </w:r>
    </w:p>
    <w:p w14:paraId="6F7493DF" w14:textId="77777777" w:rsidR="005F0B4F" w:rsidRDefault="005F0B4F" w:rsidP="00A21443">
      <w:pPr>
        <w:spacing w:after="0"/>
        <w:ind w:left="360"/>
      </w:pPr>
    </w:p>
    <w:p w14:paraId="6659B391" w14:textId="03616705" w:rsidR="005127E9" w:rsidRDefault="005127E9" w:rsidP="005F0B4F">
      <w:pPr>
        <w:spacing w:after="0"/>
      </w:pPr>
      <w:r>
        <w:t xml:space="preserve">To comply with various legal obligations, including the obligations imposed on it by the </w:t>
      </w:r>
      <w:r w:rsidR="003A68EC">
        <w:t xml:space="preserve">UK </w:t>
      </w:r>
      <w:r>
        <w:t xml:space="preserve">General Data Protection Regulation (GDPR) </w:t>
      </w:r>
      <w:r w:rsidR="00127158">
        <w:t>HAS</w:t>
      </w:r>
      <w:r>
        <w:t xml:space="preserve"> must ensure that all this information about individuals is collected and used fairly, stored safely and securely, and not disclosed to any third party unlawfully.</w:t>
      </w:r>
    </w:p>
    <w:p w14:paraId="1A4AAEB3" w14:textId="77777777" w:rsidR="005F0B4F" w:rsidRDefault="005F0B4F" w:rsidP="005F0B4F">
      <w:pPr>
        <w:spacing w:after="0"/>
      </w:pPr>
    </w:p>
    <w:p w14:paraId="3E1CC785" w14:textId="77777777" w:rsidR="005127E9" w:rsidRPr="00303FE7" w:rsidRDefault="005127E9" w:rsidP="005F0B4F">
      <w:pPr>
        <w:spacing w:after="0"/>
        <w:rPr>
          <w:b/>
        </w:rPr>
      </w:pPr>
      <w:r w:rsidRPr="00303FE7">
        <w:rPr>
          <w:b/>
        </w:rPr>
        <w:t xml:space="preserve">Compliance </w:t>
      </w:r>
    </w:p>
    <w:p w14:paraId="711EFF86" w14:textId="77777777" w:rsidR="008E6374" w:rsidRDefault="005127E9" w:rsidP="005F0B4F">
      <w:pPr>
        <w:spacing w:after="0"/>
      </w:pPr>
      <w:r>
        <w:t>This policy applies to all staff</w:t>
      </w:r>
      <w:r w:rsidR="00127158">
        <w:t xml:space="preserve">, </w:t>
      </w:r>
      <w:proofErr w:type="gramStart"/>
      <w:r w:rsidR="00127158">
        <w:t>volunteers</w:t>
      </w:r>
      <w:proofErr w:type="gramEnd"/>
      <w:r w:rsidR="00127158">
        <w:t xml:space="preserve"> and clients</w:t>
      </w:r>
      <w:r>
        <w:t xml:space="preserve"> of </w:t>
      </w:r>
      <w:r w:rsidR="00127158">
        <w:t>HAS</w:t>
      </w:r>
      <w:r>
        <w:t>. Any breach of this policy or of the Regulation itself will be considered an offence and th</w:t>
      </w:r>
      <w:r w:rsidR="00127158">
        <w:t>e Charity</w:t>
      </w:r>
      <w:r>
        <w:t xml:space="preserve">’s disciplinary procedures will be invoked. </w:t>
      </w:r>
    </w:p>
    <w:p w14:paraId="4D3D9916" w14:textId="77777777" w:rsidR="005F0B4F" w:rsidRDefault="005F0B4F" w:rsidP="005F0B4F">
      <w:pPr>
        <w:spacing w:after="0"/>
      </w:pPr>
    </w:p>
    <w:p w14:paraId="4F26BFED" w14:textId="77777777" w:rsidR="00127158" w:rsidRDefault="005127E9" w:rsidP="005F0B4F">
      <w:pPr>
        <w:spacing w:after="0"/>
      </w:pPr>
      <w:r>
        <w:t xml:space="preserve">As a matter of best practice, other agencies and individuals working with </w:t>
      </w:r>
      <w:r w:rsidR="00127158">
        <w:t>HAS</w:t>
      </w:r>
      <w:r>
        <w:t xml:space="preserve"> and who have access to personal information, will be expected to read and comply with this policy. </w:t>
      </w:r>
    </w:p>
    <w:p w14:paraId="1C9DC642" w14:textId="77777777" w:rsidR="001E180C" w:rsidRDefault="001E180C" w:rsidP="005F0B4F">
      <w:pPr>
        <w:spacing w:after="0"/>
      </w:pPr>
    </w:p>
    <w:p w14:paraId="6BCB9FAD" w14:textId="1C4FD6BD" w:rsidR="008E6374" w:rsidRDefault="005127E9" w:rsidP="005F0B4F">
      <w:pPr>
        <w:spacing w:after="0"/>
      </w:pPr>
      <w:r>
        <w:t xml:space="preserve">This policy will be updated as necessary to reflect best practice in data management, </w:t>
      </w:r>
      <w:proofErr w:type="gramStart"/>
      <w:r>
        <w:t>security</w:t>
      </w:r>
      <w:proofErr w:type="gramEnd"/>
      <w:r>
        <w:t xml:space="preserve"> and control and to ensure compliance with any changes or amendments to the </w:t>
      </w:r>
      <w:r w:rsidR="004B3BE5">
        <w:t xml:space="preserve">UK </w:t>
      </w:r>
      <w:r>
        <w:t xml:space="preserve">GDPR and other relevant legislation. </w:t>
      </w:r>
    </w:p>
    <w:p w14:paraId="7DB9978C" w14:textId="77777777" w:rsidR="005F0B4F" w:rsidRDefault="005F0B4F" w:rsidP="005F0B4F">
      <w:pPr>
        <w:spacing w:after="0"/>
      </w:pPr>
    </w:p>
    <w:p w14:paraId="53F7BEAF" w14:textId="77777777" w:rsidR="008E6374" w:rsidRDefault="005127E9" w:rsidP="005F0B4F">
      <w:pPr>
        <w:spacing w:after="0"/>
      </w:pPr>
      <w:r>
        <w:t>The Code of Practice o</w:t>
      </w:r>
      <w:r w:rsidR="008E6374">
        <w:t>n</w:t>
      </w:r>
      <w:r>
        <w:t xml:space="preserve"> DPR for </w:t>
      </w:r>
      <w:r w:rsidR="008E6374">
        <w:t>HAS</w:t>
      </w:r>
      <w:r>
        <w:t xml:space="preserve"> gives further detailed guidance and </w:t>
      </w:r>
      <w:r w:rsidR="001E180C">
        <w:t>HAS</w:t>
      </w:r>
      <w:r>
        <w:t xml:space="preserve"> undertakes to adopt and comply with this Code of Practice.</w:t>
      </w:r>
    </w:p>
    <w:p w14:paraId="625B1DE8" w14:textId="77777777" w:rsidR="005F0B4F" w:rsidRDefault="005F0B4F" w:rsidP="005F0B4F">
      <w:pPr>
        <w:spacing w:after="0"/>
      </w:pPr>
    </w:p>
    <w:p w14:paraId="5C97416B" w14:textId="77777777" w:rsidR="000F77EC" w:rsidRDefault="000F77EC" w:rsidP="005F0B4F">
      <w:pPr>
        <w:spacing w:after="0"/>
        <w:rPr>
          <w:b/>
        </w:rPr>
      </w:pPr>
    </w:p>
    <w:p w14:paraId="31B5948B" w14:textId="77777777" w:rsidR="000F77EC" w:rsidRDefault="000F77EC" w:rsidP="005F0B4F">
      <w:pPr>
        <w:spacing w:after="0"/>
        <w:rPr>
          <w:b/>
        </w:rPr>
      </w:pPr>
    </w:p>
    <w:p w14:paraId="1E1056D7" w14:textId="7CF8DD7D" w:rsidR="008E6374" w:rsidRPr="008E6374" w:rsidRDefault="00CB7170" w:rsidP="005F0B4F">
      <w:pPr>
        <w:spacing w:after="0"/>
        <w:rPr>
          <w:b/>
        </w:rPr>
      </w:pPr>
      <w:r>
        <w:rPr>
          <w:b/>
        </w:rPr>
        <w:t xml:space="preserve">UK </w:t>
      </w:r>
      <w:r w:rsidR="005127E9" w:rsidRPr="008E6374">
        <w:rPr>
          <w:b/>
        </w:rPr>
        <w:t>General Data Protection Regulation (</w:t>
      </w:r>
      <w:r>
        <w:rPr>
          <w:b/>
        </w:rPr>
        <w:t xml:space="preserve">UK </w:t>
      </w:r>
      <w:r w:rsidR="005127E9" w:rsidRPr="008E6374">
        <w:rPr>
          <w:b/>
        </w:rPr>
        <w:t xml:space="preserve">GDPR) </w:t>
      </w:r>
    </w:p>
    <w:p w14:paraId="0B8EA748" w14:textId="77777777" w:rsidR="008A6BC2" w:rsidRPr="001D4D94" w:rsidRDefault="00CB7170" w:rsidP="005F0B4F">
      <w:pPr>
        <w:spacing w:after="0"/>
        <w:rPr>
          <w:b/>
          <w:bCs/>
        </w:rPr>
      </w:pPr>
      <w:r w:rsidRPr="001D4D94">
        <w:rPr>
          <w:b/>
          <w:bCs/>
        </w:rPr>
        <w:lastRenderedPageBreak/>
        <w:t xml:space="preserve">UK </w:t>
      </w:r>
      <w:r w:rsidR="005127E9" w:rsidRPr="001D4D94">
        <w:rPr>
          <w:b/>
          <w:bCs/>
        </w:rPr>
        <w:t>G</w:t>
      </w:r>
      <w:r w:rsidR="008A6BC2" w:rsidRPr="001D4D94">
        <w:rPr>
          <w:b/>
          <w:bCs/>
        </w:rPr>
        <w:t xml:space="preserve">eneral </w:t>
      </w:r>
      <w:r w:rsidR="005127E9" w:rsidRPr="001D4D94">
        <w:rPr>
          <w:b/>
          <w:bCs/>
        </w:rPr>
        <w:t>D</w:t>
      </w:r>
      <w:r w:rsidR="008A6BC2" w:rsidRPr="001D4D94">
        <w:rPr>
          <w:b/>
          <w:bCs/>
        </w:rPr>
        <w:t xml:space="preserve">ata </w:t>
      </w:r>
      <w:r w:rsidR="005127E9" w:rsidRPr="001D4D94">
        <w:rPr>
          <w:b/>
          <w:bCs/>
        </w:rPr>
        <w:t>P</w:t>
      </w:r>
      <w:r w:rsidR="008A6BC2" w:rsidRPr="001D4D94">
        <w:rPr>
          <w:b/>
          <w:bCs/>
        </w:rPr>
        <w:t xml:space="preserve">rotection </w:t>
      </w:r>
      <w:r w:rsidR="005127E9" w:rsidRPr="001D4D94">
        <w:rPr>
          <w:b/>
          <w:bCs/>
        </w:rPr>
        <w:t>R</w:t>
      </w:r>
      <w:r w:rsidR="008A6BC2" w:rsidRPr="001D4D94">
        <w:rPr>
          <w:b/>
          <w:bCs/>
        </w:rPr>
        <w:t>egulation</w:t>
      </w:r>
      <w:r w:rsidR="005127E9" w:rsidRPr="001D4D94">
        <w:rPr>
          <w:b/>
          <w:bCs/>
        </w:rPr>
        <w:t xml:space="preserve"> </w:t>
      </w:r>
      <w:r w:rsidR="008A6BC2" w:rsidRPr="001D4D94">
        <w:rPr>
          <w:b/>
          <w:bCs/>
        </w:rPr>
        <w:t xml:space="preserve">(UK GDPR) </w:t>
      </w:r>
    </w:p>
    <w:p w14:paraId="73E02E60" w14:textId="1CA84523" w:rsidR="00C011DE" w:rsidRDefault="008A6BC2" w:rsidP="005F0B4F">
      <w:pPr>
        <w:spacing w:after="0"/>
      </w:pPr>
      <w:r>
        <w:t xml:space="preserve">The UK GDPR </w:t>
      </w:r>
      <w:r w:rsidR="005127E9">
        <w:t>regulates the processing of personal data</w:t>
      </w:r>
      <w:r w:rsidR="001D4D94">
        <w:t xml:space="preserve"> </w:t>
      </w:r>
      <w:r w:rsidR="005127E9">
        <w:t xml:space="preserve">and protects the rights and privacy of all living individuals (including children), for example by giving all individuals who are the subject of personal data a general right of access to the personal data which relates to them. Individuals can exercise the right to gain access to their information by means of a ‘subject access request’. </w:t>
      </w:r>
    </w:p>
    <w:p w14:paraId="7A600285" w14:textId="77777777" w:rsidR="001E180C" w:rsidRDefault="001E180C" w:rsidP="005F0B4F">
      <w:pPr>
        <w:spacing w:after="0"/>
      </w:pPr>
    </w:p>
    <w:p w14:paraId="504DAD04" w14:textId="7E70FF97" w:rsidR="008E6374" w:rsidRDefault="005127E9" w:rsidP="005F0B4F">
      <w:pPr>
        <w:spacing w:after="0"/>
      </w:pPr>
      <w:r>
        <w:t>Personal data is information relating to an individual and may be in hard or soft copy (paper/manual files; electronic r</w:t>
      </w:r>
      <w:r w:rsidR="001E180C">
        <w:t>ecords; photographs</w:t>
      </w:r>
      <w:r>
        <w:t xml:space="preserve">) and may include facts or opinions about a person. </w:t>
      </w:r>
    </w:p>
    <w:p w14:paraId="4EF3404E" w14:textId="77777777" w:rsidR="00C011DE" w:rsidRDefault="00C011DE" w:rsidP="005F0B4F">
      <w:pPr>
        <w:spacing w:after="0"/>
      </w:pPr>
    </w:p>
    <w:p w14:paraId="64F6BF9C" w14:textId="77777777" w:rsidR="008E6374" w:rsidRPr="008E6374" w:rsidRDefault="005127E9" w:rsidP="005F0B4F">
      <w:pPr>
        <w:spacing w:after="0"/>
        <w:rPr>
          <w:b/>
        </w:rPr>
      </w:pPr>
      <w:r w:rsidRPr="008E6374">
        <w:rPr>
          <w:b/>
        </w:rPr>
        <w:t xml:space="preserve">Responsibilities under the GDPR </w:t>
      </w:r>
    </w:p>
    <w:p w14:paraId="6921A441" w14:textId="77777777" w:rsidR="008E6374" w:rsidRDefault="008E6374" w:rsidP="005F0B4F">
      <w:pPr>
        <w:spacing w:after="0"/>
      </w:pPr>
      <w:r>
        <w:t>HAS</w:t>
      </w:r>
      <w:r w:rsidR="005127E9">
        <w:t xml:space="preserve"> will </w:t>
      </w:r>
      <w:proofErr w:type="gramStart"/>
      <w:r w:rsidR="005127E9">
        <w:t>be</w:t>
      </w:r>
      <w:proofErr w:type="gramEnd"/>
      <w:r w:rsidR="005127E9">
        <w:t xml:space="preserve"> the ‘data controller’ under the terms of the legislation – this means it is ultimately responsible for controlling the use and processing of the personal data. The </w:t>
      </w:r>
      <w:r>
        <w:t>charity</w:t>
      </w:r>
      <w:r w:rsidR="005127E9">
        <w:t xml:space="preserve"> appoints a Data Protection Officer (DPO), currently the </w:t>
      </w:r>
      <w:r>
        <w:t>CEO</w:t>
      </w:r>
      <w:r w:rsidR="005127E9">
        <w:t xml:space="preserve"> who is available to address any concerns regarding the data held by </w:t>
      </w:r>
      <w:r>
        <w:t>the charity</w:t>
      </w:r>
      <w:r w:rsidR="005127E9">
        <w:t xml:space="preserve"> and how it is processed, </w:t>
      </w:r>
      <w:proofErr w:type="gramStart"/>
      <w:r w:rsidR="005127E9">
        <w:t>held</w:t>
      </w:r>
      <w:proofErr w:type="gramEnd"/>
      <w:r w:rsidR="005127E9">
        <w:t xml:space="preserve"> and used. </w:t>
      </w:r>
    </w:p>
    <w:p w14:paraId="4AA7309F" w14:textId="77777777" w:rsidR="00C011DE" w:rsidRDefault="00C011DE" w:rsidP="005F0B4F">
      <w:pPr>
        <w:spacing w:after="0"/>
      </w:pPr>
    </w:p>
    <w:p w14:paraId="0B0129E4" w14:textId="500A46AE" w:rsidR="008E6374" w:rsidRDefault="008E6374" w:rsidP="005F0B4F">
      <w:pPr>
        <w:spacing w:after="0"/>
      </w:pPr>
      <w:r>
        <w:t>HAS</w:t>
      </w:r>
      <w:r w:rsidR="005127E9">
        <w:t xml:space="preserve"> also has a nominated </w:t>
      </w:r>
      <w:r>
        <w:t>board of trustees</w:t>
      </w:r>
      <w:r w:rsidR="005127E9">
        <w:t xml:space="preserve"> who oversees this policy. The </w:t>
      </w:r>
      <w:r>
        <w:t>CEO</w:t>
      </w:r>
      <w:r w:rsidR="005127E9">
        <w:t xml:space="preserve"> is responsible for all day-to-day data protection matters and will be responsible for ensuring that all members of staff and relevant individuals abide by this policy, and for developing and encouraging good information handling within </w:t>
      </w:r>
      <w:r>
        <w:t>HAS</w:t>
      </w:r>
      <w:r w:rsidR="005127E9">
        <w:t>.</w:t>
      </w:r>
    </w:p>
    <w:p w14:paraId="46B0D968" w14:textId="77777777" w:rsidR="00C011DE" w:rsidRDefault="00C011DE" w:rsidP="005F0B4F">
      <w:pPr>
        <w:spacing w:after="0"/>
      </w:pPr>
    </w:p>
    <w:p w14:paraId="099152DC" w14:textId="77777777" w:rsidR="008E6374" w:rsidRPr="008E6374" w:rsidRDefault="005127E9" w:rsidP="005F0B4F">
      <w:pPr>
        <w:spacing w:after="0"/>
        <w:rPr>
          <w:b/>
        </w:rPr>
      </w:pPr>
      <w:r w:rsidRPr="008E6374">
        <w:rPr>
          <w:b/>
        </w:rPr>
        <w:t xml:space="preserve">Data Protection Principles </w:t>
      </w:r>
    </w:p>
    <w:p w14:paraId="272480DD" w14:textId="0E146D52" w:rsidR="008E6374" w:rsidRDefault="005127E9" w:rsidP="005F0B4F">
      <w:pPr>
        <w:spacing w:after="0"/>
      </w:pPr>
      <w:r>
        <w:t xml:space="preserve">The legislation places a responsibility on data controller to process any personal data in accordance with the </w:t>
      </w:r>
      <w:r w:rsidR="00CB7170">
        <w:t>seven</w:t>
      </w:r>
      <w:r>
        <w:t xml:space="preserve"> principles. </w:t>
      </w:r>
      <w:r w:rsidR="001E180C">
        <w:t>To</w:t>
      </w:r>
      <w:r>
        <w:t xml:space="preserve"> comply with its obligations, </w:t>
      </w:r>
      <w:r w:rsidR="008E6374">
        <w:t>CEO</w:t>
      </w:r>
      <w:r>
        <w:t xml:space="preserve"> undertakes to adhere to the </w:t>
      </w:r>
      <w:r w:rsidR="00CB7170">
        <w:t>seven</w:t>
      </w:r>
      <w:r>
        <w:t xml:space="preserve"> principles: </w:t>
      </w:r>
    </w:p>
    <w:p w14:paraId="3E7067F1" w14:textId="77777777" w:rsidR="00C011DE" w:rsidRDefault="00C011DE" w:rsidP="005F0B4F">
      <w:pPr>
        <w:spacing w:after="0"/>
      </w:pPr>
    </w:p>
    <w:p w14:paraId="7950513A" w14:textId="67FA4990" w:rsidR="00934039" w:rsidRDefault="005127E9" w:rsidP="00A21443">
      <w:pPr>
        <w:pStyle w:val="ListParagraph"/>
        <w:numPr>
          <w:ilvl w:val="0"/>
          <w:numId w:val="2"/>
        </w:numPr>
        <w:spacing w:after="0"/>
      </w:pPr>
      <w:r>
        <w:t xml:space="preserve">Process personal data fairly and lawfully. </w:t>
      </w:r>
      <w:r w:rsidR="008E6374">
        <w:t>HAS</w:t>
      </w:r>
      <w:r>
        <w:t xml:space="preserve"> will make all reasonable efforts to ensure that individuals who are the focus of the personal data (data subjects) are informed of </w:t>
      </w:r>
      <w:r w:rsidR="00934039">
        <w:t xml:space="preserve">the </w:t>
      </w:r>
      <w:r>
        <w:t>purposes of the processing, any disclosures to third parties that are envisaged</w:t>
      </w:r>
      <w:r w:rsidR="001D4D94">
        <w:t>.</w:t>
      </w:r>
    </w:p>
    <w:p w14:paraId="1949259E" w14:textId="77777777" w:rsidR="008E6374" w:rsidRDefault="005127E9" w:rsidP="00A21443">
      <w:pPr>
        <w:pStyle w:val="ListParagraph"/>
        <w:numPr>
          <w:ilvl w:val="0"/>
          <w:numId w:val="2"/>
        </w:numPr>
        <w:spacing w:after="0"/>
      </w:pPr>
      <w:r>
        <w:t>Process the data for the specific and lawful purpose for which it collected that data and not further process the</w:t>
      </w:r>
      <w:r w:rsidR="008A197F">
        <w:t xml:space="preserve"> </w:t>
      </w:r>
      <w:r>
        <w:t xml:space="preserve">data in a manner incompatible with this purpose. </w:t>
      </w:r>
      <w:r w:rsidR="008E6374">
        <w:t>HAS</w:t>
      </w:r>
      <w:r>
        <w:t xml:space="preserve"> will ensure that the </w:t>
      </w:r>
      <w:r w:rsidR="00934039">
        <w:t>r</w:t>
      </w:r>
      <w:r>
        <w:t>eason for which it collected the data originally is the only reason for which it processes those data</w:t>
      </w:r>
      <w:r w:rsidR="00934039">
        <w:t>.</w:t>
      </w:r>
    </w:p>
    <w:p w14:paraId="2634E881" w14:textId="77777777" w:rsidR="00934039" w:rsidRDefault="005127E9" w:rsidP="00A21443">
      <w:pPr>
        <w:pStyle w:val="ListParagraph"/>
        <w:numPr>
          <w:ilvl w:val="0"/>
          <w:numId w:val="2"/>
        </w:numPr>
        <w:spacing w:after="0"/>
      </w:pPr>
      <w:r>
        <w:t xml:space="preserve">Ensure that the data is adequate, </w:t>
      </w:r>
      <w:proofErr w:type="gramStart"/>
      <w:r>
        <w:t>relevant</w:t>
      </w:r>
      <w:proofErr w:type="gramEnd"/>
      <w:r>
        <w:t xml:space="preserve"> and not excessive in relation to the purpose for which it is processed. </w:t>
      </w:r>
      <w:r w:rsidR="00934039">
        <w:t>HAS</w:t>
      </w:r>
      <w:r>
        <w:t xml:space="preserve"> will not seek to collect any personal data which is not strictly necessary for the purpose for which it was obtained. Forms for collecting data will always be drafted with this mind. </w:t>
      </w:r>
    </w:p>
    <w:p w14:paraId="56C868FD" w14:textId="77777777" w:rsidR="004F0B39" w:rsidRDefault="005127E9" w:rsidP="00A21443">
      <w:pPr>
        <w:pStyle w:val="ListParagraph"/>
        <w:numPr>
          <w:ilvl w:val="0"/>
          <w:numId w:val="2"/>
        </w:numPr>
        <w:spacing w:after="0"/>
      </w:pPr>
      <w:r>
        <w:t xml:space="preserve">Keep personal data accurate and, where necessary, up to date. </w:t>
      </w:r>
      <w:r w:rsidR="00934039">
        <w:t>HAS</w:t>
      </w:r>
      <w:r>
        <w:t xml:space="preserve"> will review and update all data on a regular basis. It is the responsibility of the individuals giving their personal data to ensure that this is accurate, and </w:t>
      </w:r>
      <w:r w:rsidR="001E180C">
        <w:t>everyone</w:t>
      </w:r>
      <w:r>
        <w:t xml:space="preserve"> should notify the C</w:t>
      </w:r>
      <w:r w:rsidR="00934039">
        <w:t>harity</w:t>
      </w:r>
      <w:r>
        <w:t xml:space="preserve"> if, for example, a change in circumstances mean that the data needs to be updated. It is the responsibility of the </w:t>
      </w:r>
      <w:r w:rsidR="00934039">
        <w:t>Charity</w:t>
      </w:r>
      <w:r>
        <w:t xml:space="preserve"> to ensure that any notification regarding the change is noted and acted on.</w:t>
      </w:r>
    </w:p>
    <w:p w14:paraId="6170A0BA" w14:textId="77777777" w:rsidR="00C011DE" w:rsidRDefault="005127E9" w:rsidP="00A21443">
      <w:pPr>
        <w:pStyle w:val="ListParagraph"/>
        <w:numPr>
          <w:ilvl w:val="0"/>
          <w:numId w:val="2"/>
        </w:numPr>
        <w:spacing w:after="0"/>
      </w:pPr>
      <w:r>
        <w:t xml:space="preserve"> Only keep personal data for as long as is necessary. </w:t>
      </w:r>
      <w:r w:rsidR="00934039">
        <w:t>HAS</w:t>
      </w:r>
      <w:r>
        <w:t xml:space="preserve"> undertakes not to retain personal data for longer than is necessary to ensure compliance with the legislation, and any other statutory requirements. </w:t>
      </w:r>
    </w:p>
    <w:p w14:paraId="38D2F236" w14:textId="77777777" w:rsidR="00C149A9" w:rsidRDefault="00C149A9" w:rsidP="00A21443">
      <w:pPr>
        <w:spacing w:after="0"/>
        <w:ind w:left="57" w:hanging="360"/>
      </w:pPr>
    </w:p>
    <w:p w14:paraId="0FA2D803" w14:textId="77777777" w:rsidR="00C011DE" w:rsidRDefault="00934039" w:rsidP="00A21443">
      <w:pPr>
        <w:spacing w:after="0"/>
        <w:ind w:left="426"/>
      </w:pPr>
      <w:r>
        <w:t>HAS</w:t>
      </w:r>
      <w:r w:rsidR="005127E9">
        <w:t xml:space="preserve"> will undertake a regular review of the information held and implement a weeding process. </w:t>
      </w:r>
    </w:p>
    <w:p w14:paraId="7545AF1F" w14:textId="77777777" w:rsidR="008E6374" w:rsidRDefault="00934039" w:rsidP="00A21443">
      <w:pPr>
        <w:spacing w:after="0"/>
        <w:ind w:left="426"/>
      </w:pPr>
      <w:r>
        <w:t>HAS</w:t>
      </w:r>
      <w:r w:rsidR="005127E9">
        <w:t xml:space="preserve"> will dispose of any personal data in a way that protects the rights and privacy of the individual </w:t>
      </w:r>
      <w:r w:rsidR="00A21443">
        <w:t>c</w:t>
      </w:r>
      <w:r w:rsidR="005127E9">
        <w:t xml:space="preserve">oncerned (e.g. secure electronic deletion, shredding and disposal of hard copy files as confidential waste). A log will be kept of the records destroyed. </w:t>
      </w:r>
    </w:p>
    <w:p w14:paraId="0D5C35C5" w14:textId="77777777" w:rsidR="00C149A9" w:rsidRDefault="00C149A9" w:rsidP="00A21443">
      <w:pPr>
        <w:spacing w:after="0"/>
        <w:ind w:left="397" w:hanging="360"/>
      </w:pPr>
    </w:p>
    <w:p w14:paraId="0D0D0B78" w14:textId="1D5B76FB" w:rsidR="00FD4571" w:rsidRDefault="00CB7170" w:rsidP="00A21443">
      <w:pPr>
        <w:spacing w:after="0"/>
        <w:ind w:left="426" w:hanging="426"/>
      </w:pPr>
      <w:r>
        <w:t>6.</w:t>
      </w:r>
      <w:r w:rsidR="005127E9">
        <w:t xml:space="preserve"> </w:t>
      </w:r>
      <w:r w:rsidR="00A21443">
        <w:tab/>
      </w:r>
      <w:r w:rsidR="005127E9">
        <w:t xml:space="preserve">Put appropriate technical and organisational measures in place against unauthorised or unlawful processing of personal data, and against accidental loss or destruction of data. </w:t>
      </w:r>
    </w:p>
    <w:p w14:paraId="487DB377" w14:textId="77777777" w:rsidR="008A197F" w:rsidRDefault="008A197F" w:rsidP="005F0B4F">
      <w:pPr>
        <w:spacing w:after="0"/>
      </w:pPr>
    </w:p>
    <w:p w14:paraId="195AB0E7" w14:textId="77777777" w:rsidR="00FD4571" w:rsidRDefault="005127E9" w:rsidP="00A21443">
      <w:pPr>
        <w:spacing w:after="0"/>
        <w:ind w:left="426"/>
      </w:pPr>
      <w:r>
        <w:t xml:space="preserve">All members of staff are responsible for ensuring that any personal data which they hold is kept securely and not disclosed to any unauthorised third parties. </w:t>
      </w:r>
      <w:r w:rsidR="00FD4571">
        <w:t>HAS</w:t>
      </w:r>
      <w:r>
        <w:t xml:space="preserve"> will ensure that all personal data is accessible only to those who have a valid reason for using it. </w:t>
      </w:r>
      <w:r w:rsidR="00FD4571">
        <w:t>HAS</w:t>
      </w:r>
      <w:r>
        <w:t xml:space="preserve"> will have in place appropriate security measures e.g. ensuring that hard copy personal data is kept in lockable filing cabinets/cupboards with controlled access (with the keys then held securely in a key cabinet with controlled access):</w:t>
      </w:r>
    </w:p>
    <w:p w14:paraId="47414B22" w14:textId="77777777" w:rsidR="008A197F" w:rsidRDefault="008A197F" w:rsidP="005F0B4F">
      <w:pPr>
        <w:spacing w:after="0"/>
      </w:pPr>
    </w:p>
    <w:p w14:paraId="2EEC408D" w14:textId="77777777" w:rsidR="00FD4571" w:rsidRDefault="005127E9" w:rsidP="001E180C">
      <w:pPr>
        <w:pStyle w:val="ListParagraph"/>
        <w:numPr>
          <w:ilvl w:val="0"/>
          <w:numId w:val="5"/>
        </w:numPr>
        <w:spacing w:after="0"/>
        <w:ind w:left="851"/>
      </w:pPr>
      <w:r>
        <w:t xml:space="preserve">keeping all personal data in a lockable cabinet with key-controlled access. </w:t>
      </w:r>
    </w:p>
    <w:p w14:paraId="38753BF6" w14:textId="77777777" w:rsidR="00FD4571" w:rsidRDefault="005127E9" w:rsidP="001E180C">
      <w:pPr>
        <w:pStyle w:val="ListParagraph"/>
        <w:numPr>
          <w:ilvl w:val="0"/>
          <w:numId w:val="5"/>
        </w:numPr>
        <w:spacing w:after="0"/>
        <w:ind w:left="851"/>
      </w:pPr>
      <w:r>
        <w:t xml:space="preserve">password protecting personal data held electronically. </w:t>
      </w:r>
    </w:p>
    <w:p w14:paraId="048A24F0" w14:textId="77777777" w:rsidR="00FD4571" w:rsidRDefault="005127E9" w:rsidP="001E180C">
      <w:pPr>
        <w:pStyle w:val="ListParagraph"/>
        <w:numPr>
          <w:ilvl w:val="0"/>
          <w:numId w:val="5"/>
        </w:numPr>
        <w:spacing w:after="0"/>
        <w:ind w:left="851"/>
      </w:pPr>
      <w:r>
        <w:t xml:space="preserve">archiving personal data which are then kept securely (lockable cabinet). </w:t>
      </w:r>
    </w:p>
    <w:p w14:paraId="42B7B320" w14:textId="77777777" w:rsidR="00FD4571" w:rsidRDefault="005127E9" w:rsidP="001E180C">
      <w:pPr>
        <w:pStyle w:val="ListParagraph"/>
        <w:numPr>
          <w:ilvl w:val="0"/>
          <w:numId w:val="5"/>
        </w:numPr>
        <w:spacing w:after="0"/>
        <w:ind w:left="851"/>
      </w:pPr>
      <w:r>
        <w:t xml:space="preserve">placing any PCs or terminals, CCTV camera screens etc. that show personal data so that they are not visible except to authorised staff. </w:t>
      </w:r>
    </w:p>
    <w:p w14:paraId="1C5FA559" w14:textId="77777777" w:rsidR="008A197F" w:rsidRDefault="008A197F" w:rsidP="00A21443">
      <w:pPr>
        <w:spacing w:after="0"/>
        <w:ind w:left="426"/>
      </w:pPr>
    </w:p>
    <w:p w14:paraId="1C570F31" w14:textId="77777777" w:rsidR="008E6374" w:rsidRDefault="005127E9" w:rsidP="00A21443">
      <w:pPr>
        <w:spacing w:after="0"/>
        <w:ind w:left="426"/>
      </w:pPr>
      <w:r>
        <w:t xml:space="preserve">In addition, </w:t>
      </w:r>
      <w:r w:rsidR="00FD4571">
        <w:t>HAS</w:t>
      </w:r>
      <w:r>
        <w:t xml:space="preserve"> will put in place appropriate measures for the deletion of personal data - manual records will be shredded or disposed of as ‘confidential waste’ and appropriate contract terms will be put in place with any third parties undertaking this work. Hard drives of redundant PCs will be wiped clean before disposal or if that is not possible, destroyed physically. A log will be kept of the records destroyed. This policy also applies to staff</w:t>
      </w:r>
      <w:r w:rsidR="00FD4571">
        <w:t xml:space="preserve"> </w:t>
      </w:r>
      <w:r w:rsidR="001E180C">
        <w:t>and volunteers</w:t>
      </w:r>
      <w:r w:rsidR="00FD4571">
        <w:t xml:space="preserve"> wh</w:t>
      </w:r>
      <w:r>
        <w:t xml:space="preserve">o process personal data ‘off-site’, e.g. when working at home, and in circumstances additional care must be taken regarding the security of the data. </w:t>
      </w:r>
    </w:p>
    <w:p w14:paraId="52EE85B2" w14:textId="77777777" w:rsidR="008A197F" w:rsidRDefault="008A197F" w:rsidP="005F0B4F">
      <w:pPr>
        <w:spacing w:after="0"/>
      </w:pPr>
    </w:p>
    <w:p w14:paraId="238BCEAA" w14:textId="2194C6A6" w:rsidR="00C149A9" w:rsidRDefault="005127E9" w:rsidP="00CB7170">
      <w:pPr>
        <w:spacing w:after="0"/>
        <w:ind w:left="405"/>
      </w:pPr>
      <w:r>
        <w:t xml:space="preserve">Ensure that no personal data is transferred to a country or a territory outside the European Economic Area (EEA) unless that country or territory ensures adequate level of protection for the rights and freedoms of data subjects in relation to the processing of personal data. </w:t>
      </w:r>
      <w:r w:rsidR="00FD4571">
        <w:t>HAS</w:t>
      </w:r>
      <w:r>
        <w:t xml:space="preserve"> will not transfer data to such territories without the explicit consent of the individual. </w:t>
      </w:r>
    </w:p>
    <w:p w14:paraId="458410CC" w14:textId="77777777" w:rsidR="00C149A9" w:rsidRDefault="00C149A9" w:rsidP="00C149A9">
      <w:pPr>
        <w:pStyle w:val="ListParagraph"/>
        <w:spacing w:after="0"/>
      </w:pPr>
    </w:p>
    <w:p w14:paraId="76852F0F" w14:textId="77777777" w:rsidR="00FD4571" w:rsidRDefault="005127E9" w:rsidP="00A21443">
      <w:pPr>
        <w:spacing w:after="0"/>
        <w:ind w:left="426"/>
      </w:pPr>
      <w:r>
        <w:t xml:space="preserve">This also applies to publishing information on the Internet - because transfer of data can include placing data on a website that can be accessed from outside the EEA </w:t>
      </w:r>
      <w:proofErr w:type="gramStart"/>
      <w:r>
        <w:t xml:space="preserve">-  </w:t>
      </w:r>
      <w:r w:rsidR="00FD4571">
        <w:t>HAS</w:t>
      </w:r>
      <w:proofErr w:type="gramEnd"/>
      <w:r>
        <w:t xml:space="preserve"> will always seek the consent of individuals before placing any personal data (including photographs) on its website. </w:t>
      </w:r>
    </w:p>
    <w:p w14:paraId="6E6B4131" w14:textId="77777777" w:rsidR="00FD4571" w:rsidRDefault="005127E9" w:rsidP="00A21443">
      <w:pPr>
        <w:spacing w:after="0"/>
        <w:ind w:left="426"/>
      </w:pPr>
      <w:r>
        <w:t xml:space="preserve">If the </w:t>
      </w:r>
      <w:r w:rsidR="00FD4571">
        <w:t>Charity</w:t>
      </w:r>
      <w:r>
        <w:t xml:space="preserve"> collects personal data in any form via its website, it will provide a clear and detailed privacy statement prominently on the website, and wherever else personal data is collected.</w:t>
      </w:r>
    </w:p>
    <w:p w14:paraId="3CDD5200" w14:textId="0B6A4FE6" w:rsidR="00DC409E" w:rsidRPr="00DC409E" w:rsidRDefault="00D81F92" w:rsidP="00DC409E">
      <w:pPr>
        <w:spacing w:after="0"/>
        <w:rPr>
          <w:bCs/>
        </w:rPr>
      </w:pPr>
      <w:r w:rsidRPr="00DC409E">
        <w:rPr>
          <w:bCs/>
        </w:rPr>
        <w:lastRenderedPageBreak/>
        <w:t>7.</w:t>
      </w:r>
      <w:r w:rsidR="00CB7170" w:rsidRPr="00DC409E">
        <w:rPr>
          <w:bCs/>
        </w:rPr>
        <w:t xml:space="preserve"> </w:t>
      </w:r>
      <w:r w:rsidR="00DC409E">
        <w:rPr>
          <w:bCs/>
        </w:rPr>
        <w:t xml:space="preserve"> Accountability</w:t>
      </w:r>
    </w:p>
    <w:p w14:paraId="32ED5155" w14:textId="77777777" w:rsidR="00DC409E" w:rsidRDefault="00DC409E" w:rsidP="00DC409E">
      <w:pPr>
        <w:spacing w:after="0"/>
        <w:rPr>
          <w:b/>
        </w:rPr>
      </w:pPr>
    </w:p>
    <w:p w14:paraId="53A61C49" w14:textId="119F9A40" w:rsidR="00FD4571" w:rsidRPr="00D81F92" w:rsidRDefault="005127E9" w:rsidP="00DC409E">
      <w:pPr>
        <w:spacing w:after="0"/>
        <w:rPr>
          <w:b/>
        </w:rPr>
      </w:pPr>
      <w:r w:rsidRPr="00D81F92">
        <w:rPr>
          <w:b/>
        </w:rPr>
        <w:t xml:space="preserve">Consent as a basis for </w:t>
      </w:r>
      <w:proofErr w:type="gramStart"/>
      <w:r w:rsidRPr="00D81F92">
        <w:rPr>
          <w:b/>
        </w:rPr>
        <w:t>processing</w:t>
      </w:r>
      <w:proofErr w:type="gramEnd"/>
      <w:r w:rsidRPr="00D81F92">
        <w:rPr>
          <w:b/>
        </w:rPr>
        <w:t xml:space="preserve"> </w:t>
      </w:r>
    </w:p>
    <w:p w14:paraId="26980545" w14:textId="77777777" w:rsidR="00FD4571" w:rsidRPr="00F249A8" w:rsidRDefault="005127E9" w:rsidP="005F0B4F">
      <w:pPr>
        <w:spacing w:after="0"/>
      </w:pPr>
      <w:r w:rsidRPr="00F249A8">
        <w:t xml:space="preserve">Although it is not always necessary to gain consent from individuals before processing their data, it is often the best way to ensure that data is collected and processed in an open and transparent manner. Consent is especially important when </w:t>
      </w:r>
      <w:r w:rsidR="00FD4571" w:rsidRPr="00F249A8">
        <w:t>HAS</w:t>
      </w:r>
      <w:r w:rsidRPr="00F249A8">
        <w:t xml:space="preserve"> </w:t>
      </w:r>
      <w:proofErr w:type="gramStart"/>
      <w:r w:rsidRPr="00F249A8">
        <w:t>is</w:t>
      </w:r>
      <w:proofErr w:type="gramEnd"/>
      <w:r w:rsidRPr="00F249A8">
        <w:t xml:space="preserve"> processing any sensitive data, as defined by the legislation. </w:t>
      </w:r>
      <w:r w:rsidR="00FD4571" w:rsidRPr="00F249A8">
        <w:t>HAS</w:t>
      </w:r>
      <w:r w:rsidRPr="00F249A8">
        <w:t xml:space="preserve"> understands consent to mean that the individual has been fully informed of the intended processing. </w:t>
      </w:r>
    </w:p>
    <w:p w14:paraId="310EFF5C" w14:textId="77777777" w:rsidR="00A21443" w:rsidRPr="00F249A8" w:rsidRDefault="00A21443" w:rsidP="005F0B4F">
      <w:pPr>
        <w:spacing w:after="0"/>
      </w:pPr>
    </w:p>
    <w:p w14:paraId="2767375A" w14:textId="77777777" w:rsidR="00FD4571" w:rsidRPr="00F249A8" w:rsidRDefault="005127E9" w:rsidP="005F0B4F">
      <w:pPr>
        <w:spacing w:after="0"/>
      </w:pPr>
      <w:r w:rsidRPr="00F249A8">
        <w:t xml:space="preserve">Consent obtained </w:t>
      </w:r>
      <w:proofErr w:type="gramStart"/>
      <w:r w:rsidRPr="00F249A8">
        <w:t>on the basis of</w:t>
      </w:r>
      <w:proofErr w:type="gramEnd"/>
      <w:r w:rsidRPr="00F249A8">
        <w:t xml:space="preserve"> misleading information will not be a valid basis for processing. </w:t>
      </w:r>
    </w:p>
    <w:p w14:paraId="3DC343BF" w14:textId="77777777" w:rsidR="00FD4571" w:rsidRPr="00F249A8" w:rsidRDefault="005127E9" w:rsidP="005F0B4F">
      <w:pPr>
        <w:spacing w:after="0"/>
      </w:pPr>
      <w:r w:rsidRPr="00F249A8">
        <w:t>Consent cannot be inferred from the non-response to a communication. “Personal Details</w:t>
      </w:r>
      <w:r w:rsidR="00A35AA6" w:rsidRPr="00F249A8">
        <w:t>”</w:t>
      </w:r>
      <w:r w:rsidRPr="00F249A8">
        <w:t xml:space="preserve"> </w:t>
      </w:r>
    </w:p>
    <w:p w14:paraId="070ADE3E" w14:textId="77777777" w:rsidR="001E180C" w:rsidRPr="00F249A8" w:rsidRDefault="001E180C" w:rsidP="005F0B4F">
      <w:pPr>
        <w:spacing w:after="0"/>
      </w:pPr>
    </w:p>
    <w:p w14:paraId="46FC9A8F" w14:textId="01610AE5" w:rsidR="00FD4571" w:rsidRPr="00F249A8" w:rsidRDefault="005127E9" w:rsidP="00A35AA6">
      <w:pPr>
        <w:pStyle w:val="ListParagraph"/>
        <w:numPr>
          <w:ilvl w:val="0"/>
          <w:numId w:val="6"/>
        </w:numPr>
        <w:spacing w:after="0"/>
        <w:ind w:left="426"/>
      </w:pPr>
      <w:r w:rsidRPr="00F249A8">
        <w:t xml:space="preserve">For the purposes of the </w:t>
      </w:r>
      <w:r w:rsidR="00DC409E">
        <w:t xml:space="preserve">UK </w:t>
      </w:r>
      <w:r w:rsidRPr="00F249A8">
        <w:t>General Data Protection Regulation (</w:t>
      </w:r>
      <w:r w:rsidR="00DC409E">
        <w:t xml:space="preserve">UK </w:t>
      </w:r>
      <w:r w:rsidRPr="00F249A8">
        <w:t>GDPR)</w:t>
      </w:r>
      <w:r w:rsidR="00DC409E">
        <w:t xml:space="preserve">, </w:t>
      </w:r>
      <w:r w:rsidRPr="00F249A8">
        <w:t xml:space="preserve">you consent to the </w:t>
      </w:r>
      <w:r w:rsidR="00FD4571" w:rsidRPr="00F249A8">
        <w:t>Charity</w:t>
      </w:r>
      <w:r w:rsidRPr="00F249A8">
        <w:t xml:space="preserve"> holding and processing personal data including sensitive personal data of which you are the subject, details of which are specified in the </w:t>
      </w:r>
      <w:r w:rsidR="00FD4571" w:rsidRPr="00F249A8">
        <w:t>Charity’s</w:t>
      </w:r>
      <w:r w:rsidRPr="00F249A8">
        <w:t xml:space="preserve"> data protection policy. </w:t>
      </w:r>
    </w:p>
    <w:p w14:paraId="63C235F7" w14:textId="05F4A682" w:rsidR="00FD4571" w:rsidRPr="00F249A8" w:rsidRDefault="00FD4571" w:rsidP="00A35AA6">
      <w:pPr>
        <w:pStyle w:val="ListParagraph"/>
        <w:numPr>
          <w:ilvl w:val="0"/>
          <w:numId w:val="6"/>
        </w:numPr>
        <w:spacing w:after="0"/>
        <w:ind w:left="426"/>
      </w:pPr>
      <w:r w:rsidRPr="00F249A8">
        <w:t>HAS</w:t>
      </w:r>
      <w:r w:rsidR="005127E9" w:rsidRPr="00F249A8">
        <w:t xml:space="preserve"> will ensure that any forms used to gather data on an individual will contain a statement explaining the use of that data, how the data may be disclosed </w:t>
      </w:r>
      <w:r w:rsidR="00A21443" w:rsidRPr="00F249A8">
        <w:t>and</w:t>
      </w:r>
      <w:r w:rsidR="005127E9" w:rsidRPr="00F249A8">
        <w:t xml:space="preserve"> indicate </w:t>
      </w:r>
      <w:proofErr w:type="gramStart"/>
      <w:r w:rsidR="005127E9" w:rsidRPr="00F249A8">
        <w:t>whether or not</w:t>
      </w:r>
      <w:proofErr w:type="gramEnd"/>
      <w:r w:rsidR="005127E9" w:rsidRPr="00F249A8">
        <w:t xml:space="preserve"> the individual needs to consent to the processing. </w:t>
      </w:r>
    </w:p>
    <w:p w14:paraId="2C9D32A7" w14:textId="77777777" w:rsidR="00A21443" w:rsidRPr="00F249A8" w:rsidRDefault="00A21443" w:rsidP="00A21443">
      <w:pPr>
        <w:spacing w:after="0"/>
        <w:ind w:left="709" w:hanging="142"/>
      </w:pPr>
    </w:p>
    <w:p w14:paraId="25ACF60E" w14:textId="77777777" w:rsidR="00FD4571" w:rsidRPr="00F249A8" w:rsidRDefault="00FD4571" w:rsidP="005F0B4F">
      <w:pPr>
        <w:spacing w:after="0"/>
      </w:pPr>
      <w:r w:rsidRPr="00F249A8">
        <w:t>HAS</w:t>
      </w:r>
      <w:r w:rsidR="005127E9" w:rsidRPr="00F249A8">
        <w:t xml:space="preserve"> will ensure that if the individual does not give his/her consent for the processing, and there is no other lawful basis on which to process the data, then steps will be taken to ensure that processing of that data does not take place.</w:t>
      </w:r>
    </w:p>
    <w:p w14:paraId="77683234" w14:textId="77777777" w:rsidR="00A21443" w:rsidRPr="00F249A8" w:rsidRDefault="00A21443" w:rsidP="005F0B4F">
      <w:pPr>
        <w:spacing w:after="0"/>
      </w:pPr>
    </w:p>
    <w:p w14:paraId="30E3F85B" w14:textId="77777777" w:rsidR="001E1D69" w:rsidRDefault="001E1D69" w:rsidP="005F0B4F">
      <w:pPr>
        <w:spacing w:after="0"/>
        <w:rPr>
          <w:b/>
        </w:rPr>
      </w:pPr>
      <w:r>
        <w:rPr>
          <w:b/>
        </w:rPr>
        <w:t>Individual Rights</w:t>
      </w:r>
    </w:p>
    <w:p w14:paraId="735ADACA" w14:textId="26B60B80" w:rsidR="00A21443" w:rsidRDefault="005127E9" w:rsidP="005F0B4F">
      <w:pPr>
        <w:spacing w:after="0"/>
        <w:rPr>
          <w:b/>
        </w:rPr>
      </w:pPr>
      <w:r w:rsidRPr="00F249A8">
        <w:rPr>
          <w:b/>
        </w:rPr>
        <w:t>Subject Access Rights (SARs)</w:t>
      </w:r>
    </w:p>
    <w:p w14:paraId="7D73AFBE" w14:textId="1F6FF1D1" w:rsidR="001E1D69" w:rsidRDefault="001E1D69" w:rsidP="005F0B4F">
      <w:pPr>
        <w:spacing w:after="0"/>
        <w:rPr>
          <w:bCs/>
        </w:rPr>
      </w:pPr>
    </w:p>
    <w:p w14:paraId="25B7AA72" w14:textId="6A0C1BC2" w:rsidR="001E1D69" w:rsidRDefault="001E1D69" w:rsidP="005F0B4F">
      <w:pPr>
        <w:spacing w:after="0"/>
        <w:rPr>
          <w:bCs/>
        </w:rPr>
      </w:pPr>
      <w:r>
        <w:rPr>
          <w:bCs/>
        </w:rPr>
        <w:t>Individuals have various rights under the legislation including a right:</w:t>
      </w:r>
    </w:p>
    <w:p w14:paraId="3AD89EF5" w14:textId="10065B58" w:rsidR="001E1D69" w:rsidRDefault="001E1D69" w:rsidP="001E1D69">
      <w:pPr>
        <w:pStyle w:val="ListParagraph"/>
        <w:numPr>
          <w:ilvl w:val="0"/>
          <w:numId w:val="12"/>
        </w:numPr>
        <w:spacing w:after="0"/>
        <w:rPr>
          <w:bCs/>
        </w:rPr>
      </w:pPr>
      <w:r>
        <w:rPr>
          <w:bCs/>
        </w:rPr>
        <w:t>To be told the nature of the information that HAS holds and any parties to whom this may be disclosed.</w:t>
      </w:r>
    </w:p>
    <w:p w14:paraId="01EAD3E4" w14:textId="499989C3" w:rsidR="001E1D69" w:rsidRDefault="001E1D69" w:rsidP="001E1D69">
      <w:pPr>
        <w:pStyle w:val="ListParagraph"/>
        <w:numPr>
          <w:ilvl w:val="0"/>
          <w:numId w:val="12"/>
        </w:numPr>
        <w:spacing w:after="0"/>
        <w:rPr>
          <w:bCs/>
        </w:rPr>
      </w:pPr>
      <w:r>
        <w:rPr>
          <w:bCs/>
        </w:rPr>
        <w:t>To prevent processing for the purposes of direct marketing</w:t>
      </w:r>
    </w:p>
    <w:p w14:paraId="15E93C10" w14:textId="5EEAF225" w:rsidR="001E1D69" w:rsidRDefault="001E1D69" w:rsidP="001E1D69">
      <w:pPr>
        <w:pStyle w:val="ListParagraph"/>
        <w:numPr>
          <w:ilvl w:val="0"/>
          <w:numId w:val="12"/>
        </w:numPr>
        <w:spacing w:after="0"/>
        <w:rPr>
          <w:bCs/>
        </w:rPr>
      </w:pPr>
      <w:r>
        <w:rPr>
          <w:bCs/>
        </w:rPr>
        <w:t>To act to rectify, block, erase or destroy inaccurate data.</w:t>
      </w:r>
    </w:p>
    <w:p w14:paraId="4A6905CD" w14:textId="5CF1C717" w:rsidR="001E1D69" w:rsidRDefault="001E1D69" w:rsidP="001E1D69">
      <w:pPr>
        <w:pStyle w:val="ListParagraph"/>
        <w:numPr>
          <w:ilvl w:val="0"/>
          <w:numId w:val="12"/>
        </w:numPr>
        <w:spacing w:after="0"/>
        <w:rPr>
          <w:bCs/>
        </w:rPr>
      </w:pPr>
      <w:r>
        <w:rPr>
          <w:bCs/>
        </w:rPr>
        <w:t>To request that the Office of the Information Commissioner assess whether any provision of the Act has been contravened.  HAS will only process personal data in accordance with individuals’ rights.</w:t>
      </w:r>
    </w:p>
    <w:p w14:paraId="4BE6F173" w14:textId="77777777" w:rsidR="001E1D69" w:rsidRDefault="001E1D69" w:rsidP="001E1D69">
      <w:pPr>
        <w:pStyle w:val="ListParagraph"/>
        <w:spacing w:after="0"/>
        <w:rPr>
          <w:bCs/>
        </w:rPr>
      </w:pPr>
    </w:p>
    <w:p w14:paraId="0F61A031" w14:textId="77777777" w:rsidR="001E1D69" w:rsidRDefault="001E1D69" w:rsidP="001E1D69">
      <w:pPr>
        <w:spacing w:after="0"/>
        <w:rPr>
          <w:b/>
        </w:rPr>
      </w:pPr>
      <w:r w:rsidRPr="00F249A8">
        <w:rPr>
          <w:b/>
        </w:rPr>
        <w:t>Subject Access Rights (SARs)</w:t>
      </w:r>
    </w:p>
    <w:p w14:paraId="7F8878C8" w14:textId="34BB8025" w:rsidR="00303FE7" w:rsidRDefault="005127E9" w:rsidP="005F0B4F">
      <w:pPr>
        <w:spacing w:after="0"/>
      </w:pPr>
      <w:r w:rsidRPr="00F249A8">
        <w:t xml:space="preserve">Individuals have a right to access any personal data relating to them which are held by the </w:t>
      </w:r>
      <w:r w:rsidR="00FD4571" w:rsidRPr="00F249A8">
        <w:t>Charity</w:t>
      </w:r>
      <w:r w:rsidRPr="00F249A8">
        <w:t xml:space="preserve">. Any individual wishing to exercise this right should apply in writing to the </w:t>
      </w:r>
      <w:r w:rsidR="00FD4571" w:rsidRPr="00F249A8">
        <w:t>CEO</w:t>
      </w:r>
      <w:r w:rsidRPr="00F249A8">
        <w:t xml:space="preserve">. Any member of staff receiving a SAR should forward this to the </w:t>
      </w:r>
      <w:r w:rsidR="00303FE7" w:rsidRPr="00F249A8">
        <w:t>CEO</w:t>
      </w:r>
      <w:r w:rsidRPr="00F249A8">
        <w:t>.</w:t>
      </w:r>
      <w:r>
        <w:t xml:space="preserve"> </w:t>
      </w:r>
    </w:p>
    <w:p w14:paraId="318E852C" w14:textId="77777777" w:rsidR="007F7091" w:rsidRDefault="007F7091" w:rsidP="005F0B4F">
      <w:pPr>
        <w:spacing w:after="0"/>
      </w:pPr>
    </w:p>
    <w:p w14:paraId="4397ADD8" w14:textId="77777777" w:rsidR="007F7091" w:rsidRDefault="007F7091" w:rsidP="007F7091">
      <w:pPr>
        <w:numPr>
          <w:ilvl w:val="1"/>
          <w:numId w:val="10"/>
        </w:numPr>
        <w:spacing w:after="0" w:line="240" w:lineRule="auto"/>
      </w:pPr>
      <w:r>
        <w:lastRenderedPageBreak/>
        <w:t>We will not usually charge a fee for responding to a data subject access request. We may, however, charge a reasonable fee (based on the administrative cost of providing the information) for responding to a request:</w:t>
      </w:r>
    </w:p>
    <w:p w14:paraId="2CF50E89" w14:textId="77777777" w:rsidR="007F7091" w:rsidRDefault="007F7091" w:rsidP="007F7091">
      <w:pPr>
        <w:spacing w:after="0" w:line="240" w:lineRule="auto"/>
        <w:ind w:left="720"/>
      </w:pPr>
    </w:p>
    <w:p w14:paraId="503B7A28" w14:textId="6F4018C7" w:rsidR="007F7091" w:rsidRDefault="007F7091" w:rsidP="007F7091">
      <w:pPr>
        <w:numPr>
          <w:ilvl w:val="2"/>
          <w:numId w:val="10"/>
        </w:numPr>
        <w:spacing w:after="0" w:line="240" w:lineRule="auto"/>
      </w:pPr>
      <w:bookmarkStart w:id="0" w:name="651b4f59-f5d3-423c-b0a5-677cec48b724"/>
      <w:bookmarkEnd w:id="0"/>
      <w:r>
        <w:t xml:space="preserve">that is manifestly unfounded or excessive, </w:t>
      </w:r>
      <w:proofErr w:type="spellStart"/>
      <w:r>
        <w:t>eg</w:t>
      </w:r>
      <w:proofErr w:type="spellEnd"/>
      <w:r w:rsidR="00F64C37">
        <w:t>:</w:t>
      </w:r>
      <w:r>
        <w:t xml:space="preserve"> repetitive; or</w:t>
      </w:r>
    </w:p>
    <w:p w14:paraId="14CA28F3" w14:textId="77777777" w:rsidR="007F7091" w:rsidRDefault="007F7091" w:rsidP="007F7091">
      <w:pPr>
        <w:spacing w:after="0" w:line="240" w:lineRule="auto"/>
        <w:ind w:left="1440"/>
      </w:pPr>
    </w:p>
    <w:p w14:paraId="2A91B2A4" w14:textId="77777777" w:rsidR="007F7091" w:rsidRDefault="007F7091" w:rsidP="007F7091">
      <w:pPr>
        <w:numPr>
          <w:ilvl w:val="2"/>
          <w:numId w:val="10"/>
        </w:numPr>
        <w:spacing w:after="0" w:line="240" w:lineRule="auto"/>
      </w:pPr>
      <w:bookmarkStart w:id="1" w:name="f321227d-c678-4102-9093-f7d0266a61f8"/>
      <w:bookmarkEnd w:id="1"/>
      <w:r>
        <w:t>for further copies of the same information.</w:t>
      </w:r>
    </w:p>
    <w:p w14:paraId="327F188B" w14:textId="77777777" w:rsidR="00A21443" w:rsidRDefault="00A21443" w:rsidP="005F0B4F">
      <w:pPr>
        <w:spacing w:after="0"/>
      </w:pPr>
    </w:p>
    <w:p w14:paraId="269C31D4" w14:textId="61952D34" w:rsidR="00DC409E" w:rsidRDefault="005127E9" w:rsidP="005F0B4F">
      <w:pPr>
        <w:spacing w:after="0"/>
      </w:pPr>
      <w:r>
        <w:t xml:space="preserve">Under the terms of the legislation, any such requests must be complied with within </w:t>
      </w:r>
      <w:r w:rsidR="001E1D69">
        <w:t>one</w:t>
      </w:r>
      <w:r w:rsidR="004B3BE5">
        <w:t xml:space="preserve"> calendar</w:t>
      </w:r>
      <w:r w:rsidR="001E1D69">
        <w:t xml:space="preserve"> month</w:t>
      </w:r>
      <w:r>
        <w:t>. For detailed guidance on responding</w:t>
      </w:r>
      <w:r w:rsidR="004B3BE5">
        <w:t>, p</w:t>
      </w:r>
      <w:r w:rsidR="004B3BE5">
        <w:t>lease follow this link to the ICO’s website (www.ico.gov.uk) which provides further detailed guidance on a range of topics including individuals’ rights, exemptions from the Act, dealing with subject access requests, how to handle requests from third parties for personal data to be disclosed etc.</w:t>
      </w:r>
    </w:p>
    <w:p w14:paraId="7B09A5C7" w14:textId="77777777" w:rsidR="004B3BE5" w:rsidRDefault="004B3BE5" w:rsidP="005F0B4F">
      <w:pPr>
        <w:spacing w:after="0"/>
        <w:rPr>
          <w:b/>
        </w:rPr>
      </w:pPr>
    </w:p>
    <w:p w14:paraId="1F9DFBBC" w14:textId="51305FD3" w:rsidR="00303FE7" w:rsidRPr="00303FE7" w:rsidRDefault="005127E9" w:rsidP="005F0B4F">
      <w:pPr>
        <w:spacing w:after="0"/>
        <w:rPr>
          <w:b/>
        </w:rPr>
      </w:pPr>
      <w:r w:rsidRPr="00303FE7">
        <w:rPr>
          <w:b/>
        </w:rPr>
        <w:t xml:space="preserve">Disclosure of Data </w:t>
      </w:r>
    </w:p>
    <w:p w14:paraId="0ACF1897" w14:textId="77777777" w:rsidR="00303FE7" w:rsidRDefault="005127E9" w:rsidP="005F0B4F">
      <w:pPr>
        <w:spacing w:after="0"/>
      </w:pPr>
      <w:r>
        <w:t xml:space="preserve">Only disclosures which have been notified under the </w:t>
      </w:r>
      <w:r w:rsidR="00303FE7">
        <w:t>Charity’s</w:t>
      </w:r>
      <w:r>
        <w:t xml:space="preserve"> DP notification must be made and therefore staff and </w:t>
      </w:r>
      <w:r w:rsidR="00303FE7">
        <w:t>volunteers</w:t>
      </w:r>
      <w:r>
        <w:t xml:space="preserve"> should exercise caution when asked to disclose personal data held on another individual or third party. </w:t>
      </w:r>
      <w:r w:rsidR="00303FE7">
        <w:t xml:space="preserve">  </w:t>
      </w:r>
    </w:p>
    <w:p w14:paraId="45EF22A9" w14:textId="77777777" w:rsidR="00A21443" w:rsidRDefault="00A21443" w:rsidP="005F0B4F">
      <w:pPr>
        <w:spacing w:after="0"/>
      </w:pPr>
    </w:p>
    <w:p w14:paraId="02118404" w14:textId="77777777" w:rsidR="00303FE7" w:rsidRDefault="00303FE7" w:rsidP="005F0B4F">
      <w:pPr>
        <w:spacing w:after="0"/>
      </w:pPr>
      <w:r>
        <w:t xml:space="preserve">HAS </w:t>
      </w:r>
      <w:r w:rsidR="005127E9">
        <w:t xml:space="preserve">undertakes not to disclose personal data to unauthorised third parties, including family members, friends, government bodies and in some circumstances, the police. Legitimate disclosures may occur in the following instances: </w:t>
      </w:r>
    </w:p>
    <w:p w14:paraId="75024007" w14:textId="77777777" w:rsidR="00A35AA6" w:rsidRDefault="00A35AA6" w:rsidP="005F0B4F">
      <w:pPr>
        <w:spacing w:after="0"/>
      </w:pPr>
    </w:p>
    <w:p w14:paraId="725F3DAF" w14:textId="77777777" w:rsidR="00303FE7" w:rsidRDefault="005127E9" w:rsidP="00A35AA6">
      <w:pPr>
        <w:pStyle w:val="ListParagraph"/>
        <w:numPr>
          <w:ilvl w:val="0"/>
          <w:numId w:val="7"/>
        </w:numPr>
        <w:spacing w:after="0"/>
        <w:ind w:left="426"/>
      </w:pPr>
      <w:r>
        <w:t xml:space="preserve">the individual has given their consent to the disclosure. </w:t>
      </w:r>
    </w:p>
    <w:p w14:paraId="4ACE5E21" w14:textId="77777777" w:rsidR="00303FE7" w:rsidRDefault="005127E9" w:rsidP="00A35AA6">
      <w:pPr>
        <w:pStyle w:val="ListParagraph"/>
        <w:numPr>
          <w:ilvl w:val="0"/>
          <w:numId w:val="7"/>
        </w:numPr>
        <w:spacing w:after="0"/>
        <w:ind w:left="426"/>
      </w:pPr>
      <w:r>
        <w:t xml:space="preserve">the disclosure is required for the performance of a contract. There are other instances when the legislation permits disclosure without the consent of the individual. </w:t>
      </w:r>
    </w:p>
    <w:p w14:paraId="69FE060E" w14:textId="77777777" w:rsidR="00A21443" w:rsidRDefault="00A21443" w:rsidP="00A21443">
      <w:pPr>
        <w:spacing w:after="0"/>
      </w:pPr>
    </w:p>
    <w:p w14:paraId="513B40C5" w14:textId="77777777" w:rsidR="00303FE7" w:rsidRDefault="005127E9" w:rsidP="00A21443">
      <w:pPr>
        <w:spacing w:after="0"/>
      </w:pPr>
      <w:r>
        <w:t xml:space="preserve">Publication of </w:t>
      </w:r>
      <w:r w:rsidR="00303FE7">
        <w:t xml:space="preserve">Charity’s </w:t>
      </w:r>
      <w:r>
        <w:t xml:space="preserve">Information </w:t>
      </w:r>
    </w:p>
    <w:p w14:paraId="69309ECE" w14:textId="77777777" w:rsidR="00303FE7" w:rsidRDefault="00303FE7" w:rsidP="00A21443">
      <w:pPr>
        <w:spacing w:after="0"/>
      </w:pPr>
      <w:r>
        <w:t>HAS</w:t>
      </w:r>
      <w:r w:rsidR="005127E9">
        <w:t xml:space="preserve"> publishes various items which will include some personal data, e.g. </w:t>
      </w:r>
    </w:p>
    <w:p w14:paraId="09492B7E" w14:textId="77777777" w:rsidR="00303FE7" w:rsidRDefault="005127E9" w:rsidP="00A35AA6">
      <w:pPr>
        <w:pStyle w:val="ListParagraph"/>
        <w:numPr>
          <w:ilvl w:val="0"/>
          <w:numId w:val="8"/>
        </w:numPr>
        <w:spacing w:after="0"/>
        <w:ind w:left="426"/>
      </w:pPr>
      <w:r>
        <w:t xml:space="preserve">internal telephone directory. </w:t>
      </w:r>
    </w:p>
    <w:p w14:paraId="57162E67" w14:textId="77777777" w:rsidR="00303FE7" w:rsidRDefault="005127E9" w:rsidP="00A35AA6">
      <w:pPr>
        <w:pStyle w:val="ListParagraph"/>
        <w:numPr>
          <w:ilvl w:val="0"/>
          <w:numId w:val="8"/>
        </w:numPr>
        <w:spacing w:after="0"/>
        <w:ind w:left="426"/>
      </w:pPr>
      <w:r>
        <w:t xml:space="preserve">event information. </w:t>
      </w:r>
    </w:p>
    <w:p w14:paraId="08FF1703" w14:textId="77777777" w:rsidR="00A21443" w:rsidRDefault="00A21443" w:rsidP="00A35AA6">
      <w:pPr>
        <w:pStyle w:val="ListParagraph"/>
        <w:numPr>
          <w:ilvl w:val="0"/>
          <w:numId w:val="8"/>
        </w:numPr>
        <w:spacing w:after="0"/>
        <w:ind w:left="426"/>
      </w:pPr>
      <w:r>
        <w:t>news and views</w:t>
      </w:r>
    </w:p>
    <w:p w14:paraId="3D228FA7" w14:textId="77777777" w:rsidR="00303FE7" w:rsidRDefault="00A35AA6" w:rsidP="00A35AA6">
      <w:pPr>
        <w:pStyle w:val="ListParagraph"/>
        <w:numPr>
          <w:ilvl w:val="0"/>
          <w:numId w:val="8"/>
        </w:numPr>
        <w:spacing w:after="0"/>
        <w:ind w:left="426"/>
      </w:pPr>
      <w:r>
        <w:t>p</w:t>
      </w:r>
      <w:r w:rsidR="005127E9">
        <w:t xml:space="preserve">hotos and information in marketing materials. </w:t>
      </w:r>
    </w:p>
    <w:p w14:paraId="71EDD108" w14:textId="77777777" w:rsidR="001E180C" w:rsidRDefault="001E180C" w:rsidP="00A21443">
      <w:pPr>
        <w:spacing w:after="0"/>
        <w:ind w:left="709"/>
      </w:pPr>
    </w:p>
    <w:p w14:paraId="4B79182A" w14:textId="77777777" w:rsidR="00303FE7" w:rsidRDefault="005127E9" w:rsidP="005F0B4F">
      <w:pPr>
        <w:spacing w:after="0"/>
      </w:pPr>
      <w:r>
        <w:t xml:space="preserve">It may be that in some circumstances an individual wishes their data processed for such reasons to be kept confidential, or restricted </w:t>
      </w:r>
      <w:r w:rsidR="00303FE7">
        <w:t>Charity’s</w:t>
      </w:r>
      <w:r>
        <w:t xml:space="preserve"> access only. </w:t>
      </w:r>
      <w:r w:rsidR="001E180C">
        <w:t>I</w:t>
      </w:r>
      <w:r>
        <w:t xml:space="preserve">t is </w:t>
      </w:r>
      <w:r w:rsidR="00303FE7">
        <w:t>HAS</w:t>
      </w:r>
      <w:r>
        <w:t xml:space="preserve"> policy to offer an opportunity to opt-out of the publication of such when collecting the information. </w:t>
      </w:r>
    </w:p>
    <w:p w14:paraId="7FA0F1A0" w14:textId="77777777" w:rsidR="00C149A9" w:rsidRDefault="00C149A9" w:rsidP="005F0B4F">
      <w:pPr>
        <w:spacing w:after="0"/>
      </w:pPr>
    </w:p>
    <w:p w14:paraId="5C627651" w14:textId="77777777" w:rsidR="00303FE7" w:rsidRPr="00303FE7" w:rsidRDefault="005127E9" w:rsidP="005F0B4F">
      <w:pPr>
        <w:spacing w:after="0"/>
        <w:rPr>
          <w:b/>
        </w:rPr>
      </w:pPr>
      <w:r w:rsidRPr="00F249A8">
        <w:rPr>
          <w:b/>
        </w:rPr>
        <w:t>Email</w:t>
      </w:r>
      <w:r w:rsidRPr="00303FE7">
        <w:rPr>
          <w:b/>
        </w:rPr>
        <w:t xml:space="preserve"> </w:t>
      </w:r>
    </w:p>
    <w:p w14:paraId="4861F08B" w14:textId="44D25316" w:rsidR="00303FE7" w:rsidRDefault="005127E9" w:rsidP="005F0B4F">
      <w:pPr>
        <w:spacing w:after="0"/>
      </w:pPr>
      <w:r>
        <w:lastRenderedPageBreak/>
        <w:t xml:space="preserve">It is the policy of </w:t>
      </w:r>
      <w:r w:rsidR="00303FE7">
        <w:t>HAS</w:t>
      </w:r>
      <w:r>
        <w:t xml:space="preserve"> ensure</w:t>
      </w:r>
      <w:r w:rsidR="001E180C">
        <w:t>s</w:t>
      </w:r>
      <w:r>
        <w:t xml:space="preserve"> that senders and recipients of email are made aware that under the </w:t>
      </w:r>
      <w:r w:rsidR="004B3BE5">
        <w:t>UK GDPR</w:t>
      </w:r>
      <w:r>
        <w:t xml:space="preserve">, and Freedom of Information Legislation, the contents of email may have to be disclosed in response to a request for information. One means by which this will be communicated will be by a disclaimer on </w:t>
      </w:r>
      <w:r w:rsidR="00303FE7">
        <w:t>the Charity’s</w:t>
      </w:r>
      <w:r>
        <w:t xml:space="preserve"> email. Under the Regulation of Investigatory Powers Act 2000, Lawful Business Practice Regulations, any email sent to or from the </w:t>
      </w:r>
      <w:r w:rsidR="00303FE7">
        <w:t xml:space="preserve">Charity </w:t>
      </w:r>
      <w:r>
        <w:t xml:space="preserve">may be accessed by someone other than the recipient for system management and security purposes. </w:t>
      </w:r>
    </w:p>
    <w:p w14:paraId="7055ECA5" w14:textId="77777777" w:rsidR="00C149A9" w:rsidRDefault="00C149A9" w:rsidP="005F0B4F">
      <w:pPr>
        <w:spacing w:after="0"/>
      </w:pPr>
    </w:p>
    <w:p w14:paraId="2B646237" w14:textId="77777777" w:rsidR="00303FE7" w:rsidRPr="00303FE7" w:rsidRDefault="005127E9" w:rsidP="005F0B4F">
      <w:pPr>
        <w:spacing w:after="0"/>
        <w:rPr>
          <w:b/>
        </w:rPr>
      </w:pPr>
      <w:r w:rsidRPr="00303FE7">
        <w:rPr>
          <w:b/>
        </w:rPr>
        <w:t xml:space="preserve">Procedure for review </w:t>
      </w:r>
    </w:p>
    <w:p w14:paraId="579B869C" w14:textId="77777777" w:rsidR="004B3BE5" w:rsidRDefault="005127E9" w:rsidP="005F0B4F">
      <w:pPr>
        <w:spacing w:after="0"/>
      </w:pPr>
      <w:r>
        <w:t xml:space="preserve">This policy will be updated as necessary to reflect best practice or future amendments made to the </w:t>
      </w:r>
      <w:r w:rsidR="004B3BE5">
        <w:t xml:space="preserve">UK </w:t>
      </w:r>
      <w:r>
        <w:t>General Data Protection Regulation (</w:t>
      </w:r>
      <w:r w:rsidR="004B3BE5">
        <w:t xml:space="preserve">UK </w:t>
      </w:r>
      <w:r>
        <w:t xml:space="preserve">GDPR). </w:t>
      </w:r>
    </w:p>
    <w:p w14:paraId="6F374102" w14:textId="77777777" w:rsidR="004B3BE5" w:rsidRDefault="004B3BE5" w:rsidP="005F0B4F">
      <w:pPr>
        <w:spacing w:after="0"/>
      </w:pPr>
    </w:p>
    <w:p w14:paraId="2A883D9E" w14:textId="77777777" w:rsidR="004B3BE5" w:rsidRDefault="004B3BE5" w:rsidP="005F0B4F">
      <w:pPr>
        <w:spacing w:after="0"/>
      </w:pPr>
      <w:r>
        <w:t>F</w:t>
      </w:r>
      <w:r w:rsidR="005127E9">
        <w:t xml:space="preserve">ollow this link to the ICO’s website (www.ico.gov.uk) which provides further detailed guidance on a range of topics including individuals’ rights, exemptions from the Act, dealing with subject access requests, how to handle requests from third parties for personal data to be disclosed etc. </w:t>
      </w:r>
    </w:p>
    <w:p w14:paraId="6074452F" w14:textId="77777777" w:rsidR="004B3BE5" w:rsidRDefault="004B3BE5" w:rsidP="005F0B4F">
      <w:pPr>
        <w:spacing w:after="0"/>
      </w:pPr>
    </w:p>
    <w:p w14:paraId="45189D97" w14:textId="316A390A" w:rsidR="00303FE7" w:rsidRDefault="005127E9" w:rsidP="005F0B4F">
      <w:pPr>
        <w:spacing w:after="0"/>
      </w:pPr>
      <w:r>
        <w:t xml:space="preserve">For help or advice on any data protection or freedom of information issues, please do not hesitate to contact: </w:t>
      </w:r>
    </w:p>
    <w:p w14:paraId="5C6279E1" w14:textId="77777777" w:rsidR="005127E9" w:rsidRDefault="005127E9" w:rsidP="005F0B4F">
      <w:pPr>
        <w:spacing w:after="0"/>
      </w:pPr>
      <w:r>
        <w:t xml:space="preserve">The Data Protection Officer (DPO): </w:t>
      </w:r>
      <w:r w:rsidR="00303FE7">
        <w:t>Philip Linnegar CEO</w:t>
      </w:r>
      <w:r>
        <w:t xml:space="preserve"> </w:t>
      </w:r>
    </w:p>
    <w:sectPr w:rsidR="005127E9" w:rsidSect="0026518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BE6A" w14:textId="77777777" w:rsidR="00265180" w:rsidRDefault="00265180" w:rsidP="00DE7093">
      <w:pPr>
        <w:spacing w:after="0" w:line="240" w:lineRule="auto"/>
      </w:pPr>
      <w:r>
        <w:separator/>
      </w:r>
    </w:p>
  </w:endnote>
  <w:endnote w:type="continuationSeparator" w:id="0">
    <w:p w14:paraId="0DB5C953" w14:textId="77777777" w:rsidR="00265180" w:rsidRDefault="00265180" w:rsidP="00DE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2994" w14:textId="77777777" w:rsidR="00224911" w:rsidRDefault="00224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236C" w14:textId="77777777" w:rsidR="000F77EC" w:rsidRDefault="000F77EC">
    <w:pPr>
      <w:pStyle w:val="Footer"/>
    </w:pPr>
    <w:r>
      <w:t xml:space="preserve"> </w:t>
    </w:r>
  </w:p>
  <w:tbl>
    <w:tblPr>
      <w:tblW w:w="11891" w:type="dxa"/>
      <w:tblInd w:w="-1134" w:type="dxa"/>
      <w:tblLayout w:type="fixed"/>
      <w:tblCellMar>
        <w:left w:w="113" w:type="dxa"/>
      </w:tblCellMar>
      <w:tblLook w:val="0000" w:firstRow="0" w:lastRow="0" w:firstColumn="0" w:lastColumn="0" w:noHBand="0" w:noVBand="0"/>
    </w:tblPr>
    <w:tblGrid>
      <w:gridCol w:w="1945"/>
      <w:gridCol w:w="1945"/>
      <w:gridCol w:w="1945"/>
      <w:gridCol w:w="1945"/>
      <w:gridCol w:w="1945"/>
      <w:gridCol w:w="2166"/>
    </w:tblGrid>
    <w:tr w:rsidR="00224911" w:rsidRPr="00DE7093" w14:paraId="30C4C324" w14:textId="77777777" w:rsidTr="00224911">
      <w:trPr>
        <w:cantSplit/>
      </w:trPr>
      <w:tc>
        <w:tcPr>
          <w:tcW w:w="1945" w:type="dxa"/>
          <w:tcBorders>
            <w:top w:val="single" w:sz="4" w:space="0" w:color="00000A"/>
            <w:left w:val="single" w:sz="4" w:space="0" w:color="00000A"/>
            <w:bottom w:val="single" w:sz="4" w:space="0" w:color="00000A"/>
          </w:tcBorders>
          <w:shd w:val="clear" w:color="auto" w:fill="auto"/>
        </w:tcPr>
        <w:p w14:paraId="540BC53E" w14:textId="77777777" w:rsidR="00224911" w:rsidRPr="00DE7093" w:rsidRDefault="00224911"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sidRPr="00DE7093">
            <w:rPr>
              <w:rFonts w:ascii="Arial" w:eastAsia="Times New Roman" w:hAnsi="Arial" w:cs="Arial"/>
              <w:kern w:val="1"/>
              <w:sz w:val="18"/>
              <w:szCs w:val="20"/>
            </w:rPr>
            <w:t>Document Reference</w:t>
          </w:r>
        </w:p>
      </w:tc>
      <w:tc>
        <w:tcPr>
          <w:tcW w:w="1945" w:type="dxa"/>
          <w:tcBorders>
            <w:top w:val="single" w:sz="4" w:space="0" w:color="00000A"/>
            <w:left w:val="single" w:sz="4" w:space="0" w:color="00000A"/>
            <w:bottom w:val="single" w:sz="4" w:space="0" w:color="00000A"/>
            <w:right w:val="single" w:sz="4" w:space="0" w:color="00000A"/>
          </w:tcBorders>
        </w:tcPr>
        <w:p w14:paraId="6168537B" w14:textId="6C6A4C08" w:rsidR="00224911" w:rsidRPr="00DE7093" w:rsidRDefault="00224911" w:rsidP="00DE7093">
          <w:pPr>
            <w:tabs>
              <w:tab w:val="center" w:pos="4153"/>
              <w:tab w:val="right" w:pos="8306"/>
            </w:tabs>
            <w:suppressAutoHyphens/>
            <w:spacing w:after="0" w:line="240" w:lineRule="auto"/>
            <w:jc w:val="center"/>
            <w:textAlignment w:val="baseline"/>
            <w:rPr>
              <w:rFonts w:ascii="Arial" w:eastAsia="Times New Roman" w:hAnsi="Arial" w:cs="Arial"/>
              <w:kern w:val="1"/>
              <w:sz w:val="18"/>
              <w:szCs w:val="20"/>
            </w:rPr>
          </w:pPr>
          <w:r>
            <w:rPr>
              <w:rFonts w:ascii="Arial" w:eastAsia="Times New Roman" w:hAnsi="Arial" w:cs="Arial"/>
              <w:kern w:val="1"/>
              <w:sz w:val="18"/>
              <w:szCs w:val="20"/>
            </w:rPr>
            <w:t>Document Issue date</w:t>
          </w:r>
        </w:p>
      </w:tc>
      <w:tc>
        <w:tcPr>
          <w:tcW w:w="1945" w:type="dxa"/>
          <w:tcBorders>
            <w:top w:val="single" w:sz="4" w:space="0" w:color="00000A"/>
            <w:left w:val="single" w:sz="4" w:space="0" w:color="00000A"/>
            <w:bottom w:val="single" w:sz="4" w:space="0" w:color="00000A"/>
          </w:tcBorders>
          <w:shd w:val="clear" w:color="auto" w:fill="auto"/>
        </w:tcPr>
        <w:p w14:paraId="629AC1A6" w14:textId="2CFF8399" w:rsidR="00224911" w:rsidRPr="00DE7093" w:rsidRDefault="00224911"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sidRPr="00DE7093">
            <w:rPr>
              <w:rFonts w:ascii="Arial" w:eastAsia="Times New Roman" w:hAnsi="Arial" w:cs="Arial"/>
              <w:kern w:val="1"/>
              <w:sz w:val="18"/>
              <w:szCs w:val="20"/>
            </w:rPr>
            <w:t xml:space="preserve">Document </w:t>
          </w:r>
          <w:r>
            <w:rPr>
              <w:rFonts w:ascii="Arial" w:eastAsia="Times New Roman" w:hAnsi="Arial" w:cs="Arial"/>
              <w:kern w:val="1"/>
              <w:sz w:val="18"/>
              <w:szCs w:val="20"/>
            </w:rPr>
            <w:t>Reviewed</w:t>
          </w:r>
        </w:p>
      </w:tc>
      <w:tc>
        <w:tcPr>
          <w:tcW w:w="1945" w:type="dxa"/>
          <w:tcBorders>
            <w:top w:val="single" w:sz="4" w:space="0" w:color="00000A"/>
            <w:left w:val="single" w:sz="4" w:space="0" w:color="00000A"/>
            <w:bottom w:val="single" w:sz="4" w:space="0" w:color="00000A"/>
          </w:tcBorders>
          <w:shd w:val="clear" w:color="auto" w:fill="auto"/>
        </w:tcPr>
        <w:p w14:paraId="6603ED3F" w14:textId="77777777" w:rsidR="00224911" w:rsidRPr="00DE7093" w:rsidRDefault="00224911"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sidRPr="00DE7093">
            <w:rPr>
              <w:rFonts w:ascii="Arial" w:eastAsia="Times New Roman" w:hAnsi="Arial" w:cs="Arial"/>
              <w:kern w:val="1"/>
              <w:sz w:val="18"/>
              <w:szCs w:val="20"/>
            </w:rPr>
            <w:t>Next Review</w:t>
          </w:r>
        </w:p>
      </w:tc>
      <w:tc>
        <w:tcPr>
          <w:tcW w:w="1945" w:type="dxa"/>
          <w:tcBorders>
            <w:top w:val="single" w:sz="4" w:space="0" w:color="00000A"/>
            <w:left w:val="single" w:sz="4" w:space="0" w:color="00000A"/>
            <w:bottom w:val="single" w:sz="4" w:space="0" w:color="00000A"/>
          </w:tcBorders>
          <w:shd w:val="clear" w:color="auto" w:fill="auto"/>
        </w:tcPr>
        <w:p w14:paraId="3FB171F6" w14:textId="77777777" w:rsidR="00224911" w:rsidRPr="00DE7093" w:rsidRDefault="00224911"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sidRPr="00DE7093">
            <w:rPr>
              <w:rFonts w:ascii="Arial" w:eastAsia="Times New Roman" w:hAnsi="Arial" w:cs="Arial"/>
              <w:kern w:val="1"/>
              <w:sz w:val="18"/>
              <w:szCs w:val="20"/>
            </w:rPr>
            <w:t>Page</w:t>
          </w:r>
        </w:p>
      </w:tc>
      <w:tc>
        <w:tcPr>
          <w:tcW w:w="216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56DCFAC" w14:textId="77777777" w:rsidR="00224911" w:rsidRPr="00DE7093" w:rsidRDefault="00224911"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sidRPr="00DE7093">
            <w:rPr>
              <w:rFonts w:ascii="Arial" w:eastAsia="Times New Roman" w:hAnsi="Arial" w:cs="Arial"/>
              <w:kern w:val="1"/>
              <w:sz w:val="18"/>
              <w:szCs w:val="20"/>
            </w:rPr>
            <w:t>Classified as uncontrolled if printed</w:t>
          </w:r>
        </w:p>
      </w:tc>
    </w:tr>
    <w:tr w:rsidR="00224911" w:rsidRPr="00DE7093" w14:paraId="6F5BF9FC" w14:textId="77777777" w:rsidTr="00224911">
      <w:trPr>
        <w:cantSplit/>
      </w:trPr>
      <w:tc>
        <w:tcPr>
          <w:tcW w:w="1945" w:type="dxa"/>
          <w:tcBorders>
            <w:top w:val="single" w:sz="4" w:space="0" w:color="00000A"/>
            <w:left w:val="single" w:sz="4" w:space="0" w:color="00000A"/>
            <w:bottom w:val="single" w:sz="4" w:space="0" w:color="00000A"/>
          </w:tcBorders>
          <w:shd w:val="clear" w:color="auto" w:fill="auto"/>
        </w:tcPr>
        <w:p w14:paraId="077F04C3" w14:textId="77777777" w:rsidR="00224911" w:rsidRPr="00DE7093" w:rsidRDefault="00224911"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Pr>
              <w:rFonts w:ascii="Arial" w:eastAsia="Times New Roman" w:hAnsi="Arial" w:cs="Arial"/>
              <w:kern w:val="1"/>
              <w:sz w:val="18"/>
              <w:szCs w:val="20"/>
            </w:rPr>
            <w:t>P19</w:t>
          </w:r>
        </w:p>
      </w:tc>
      <w:tc>
        <w:tcPr>
          <w:tcW w:w="1945" w:type="dxa"/>
          <w:tcBorders>
            <w:top w:val="single" w:sz="4" w:space="0" w:color="00000A"/>
            <w:left w:val="single" w:sz="4" w:space="0" w:color="00000A"/>
            <w:bottom w:val="single" w:sz="4" w:space="0" w:color="00000A"/>
            <w:right w:val="single" w:sz="4" w:space="0" w:color="00000A"/>
          </w:tcBorders>
        </w:tcPr>
        <w:p w14:paraId="08E807A3" w14:textId="70CCC3B8" w:rsidR="00224911" w:rsidRDefault="00224911" w:rsidP="00DE7093">
          <w:pPr>
            <w:tabs>
              <w:tab w:val="center" w:pos="4153"/>
              <w:tab w:val="right" w:pos="8306"/>
            </w:tabs>
            <w:suppressAutoHyphens/>
            <w:spacing w:after="0" w:line="240" w:lineRule="auto"/>
            <w:jc w:val="center"/>
            <w:textAlignment w:val="baseline"/>
            <w:rPr>
              <w:rFonts w:ascii="Arial" w:eastAsia="Times New Roman" w:hAnsi="Arial" w:cs="Arial"/>
              <w:kern w:val="1"/>
              <w:sz w:val="18"/>
              <w:szCs w:val="20"/>
            </w:rPr>
          </w:pPr>
          <w:r>
            <w:rPr>
              <w:rFonts w:ascii="Arial" w:eastAsia="Times New Roman" w:hAnsi="Arial" w:cs="Arial"/>
              <w:kern w:val="1"/>
              <w:sz w:val="18"/>
              <w:szCs w:val="20"/>
            </w:rPr>
            <w:t>June 2018</w:t>
          </w:r>
        </w:p>
      </w:tc>
      <w:tc>
        <w:tcPr>
          <w:tcW w:w="1945" w:type="dxa"/>
          <w:tcBorders>
            <w:top w:val="single" w:sz="4" w:space="0" w:color="00000A"/>
            <w:left w:val="single" w:sz="4" w:space="0" w:color="00000A"/>
            <w:bottom w:val="single" w:sz="4" w:space="0" w:color="00000A"/>
          </w:tcBorders>
          <w:shd w:val="clear" w:color="auto" w:fill="auto"/>
        </w:tcPr>
        <w:p w14:paraId="2EE667A9" w14:textId="7A5779C9" w:rsidR="00224911" w:rsidRPr="00DE7093" w:rsidRDefault="00224911"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Pr>
              <w:rFonts w:ascii="Arial" w:eastAsia="Times New Roman" w:hAnsi="Arial" w:cs="Arial"/>
              <w:kern w:val="1"/>
              <w:sz w:val="18"/>
              <w:szCs w:val="20"/>
            </w:rPr>
            <w:t>March 2024</w:t>
          </w:r>
        </w:p>
      </w:tc>
      <w:tc>
        <w:tcPr>
          <w:tcW w:w="1945" w:type="dxa"/>
          <w:tcBorders>
            <w:top w:val="single" w:sz="4" w:space="0" w:color="00000A"/>
            <w:left w:val="single" w:sz="4" w:space="0" w:color="00000A"/>
            <w:bottom w:val="single" w:sz="4" w:space="0" w:color="00000A"/>
          </w:tcBorders>
          <w:shd w:val="clear" w:color="auto" w:fill="auto"/>
        </w:tcPr>
        <w:p w14:paraId="5823886C" w14:textId="092B7F34" w:rsidR="00224911" w:rsidRPr="00DE7093" w:rsidRDefault="00224911"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Pr>
              <w:rFonts w:ascii="Arial" w:eastAsia="Times New Roman" w:hAnsi="Arial" w:cs="Arial"/>
              <w:kern w:val="1"/>
              <w:sz w:val="18"/>
              <w:szCs w:val="20"/>
            </w:rPr>
            <w:t>March 2027</w:t>
          </w:r>
        </w:p>
      </w:tc>
      <w:tc>
        <w:tcPr>
          <w:tcW w:w="1945" w:type="dxa"/>
          <w:tcBorders>
            <w:top w:val="single" w:sz="4" w:space="0" w:color="00000A"/>
            <w:left w:val="single" w:sz="4" w:space="0" w:color="00000A"/>
            <w:bottom w:val="single" w:sz="4" w:space="0" w:color="00000A"/>
          </w:tcBorders>
          <w:shd w:val="clear" w:color="auto" w:fill="auto"/>
        </w:tcPr>
        <w:p w14:paraId="663582C1" w14:textId="77777777" w:rsidR="00224911" w:rsidRPr="00DE7093" w:rsidRDefault="00224911" w:rsidP="00DE7093">
          <w:pPr>
            <w:tabs>
              <w:tab w:val="center" w:pos="4153"/>
              <w:tab w:val="right" w:pos="8306"/>
            </w:tabs>
            <w:suppressAutoHyphens/>
            <w:spacing w:after="0" w:line="240" w:lineRule="auto"/>
            <w:jc w:val="center"/>
            <w:textAlignment w:val="baseline"/>
            <w:rPr>
              <w:rFonts w:ascii="Arial" w:eastAsia="Times New Roman" w:hAnsi="Arial" w:cs="Arial"/>
              <w:kern w:val="1"/>
              <w:sz w:val="18"/>
              <w:szCs w:val="20"/>
            </w:rPr>
          </w:pPr>
          <w:r w:rsidRPr="00DE7093">
            <w:rPr>
              <w:rFonts w:ascii="Arial" w:eastAsia="Times New Roman" w:hAnsi="Arial" w:cs="Arial"/>
              <w:kern w:val="1"/>
              <w:sz w:val="18"/>
              <w:szCs w:val="20"/>
            </w:rPr>
            <w:t xml:space="preserve">Page </w:t>
          </w:r>
          <w:r w:rsidRPr="00DE7093">
            <w:rPr>
              <w:rFonts w:ascii="Arial" w:eastAsia="Times New Roman" w:hAnsi="Arial" w:cs="Arial"/>
              <w:kern w:val="1"/>
              <w:sz w:val="18"/>
              <w:szCs w:val="20"/>
            </w:rPr>
            <w:fldChar w:fldCharType="begin"/>
          </w:r>
          <w:r w:rsidRPr="00DE7093">
            <w:rPr>
              <w:rFonts w:ascii="Arial" w:eastAsia="Times New Roman" w:hAnsi="Arial" w:cs="Arial"/>
              <w:kern w:val="1"/>
              <w:sz w:val="18"/>
              <w:szCs w:val="20"/>
            </w:rPr>
            <w:instrText xml:space="preserve"> PAGE </w:instrText>
          </w:r>
          <w:r w:rsidRPr="00DE7093">
            <w:rPr>
              <w:rFonts w:ascii="Arial" w:eastAsia="Times New Roman" w:hAnsi="Arial" w:cs="Arial"/>
              <w:kern w:val="1"/>
              <w:sz w:val="18"/>
              <w:szCs w:val="20"/>
            </w:rPr>
            <w:fldChar w:fldCharType="separate"/>
          </w:r>
          <w:r>
            <w:rPr>
              <w:rFonts w:ascii="Arial" w:eastAsia="Times New Roman" w:hAnsi="Arial" w:cs="Arial"/>
              <w:noProof/>
              <w:kern w:val="1"/>
              <w:sz w:val="18"/>
              <w:szCs w:val="20"/>
            </w:rPr>
            <w:t>4</w:t>
          </w:r>
          <w:r w:rsidRPr="00DE7093">
            <w:rPr>
              <w:rFonts w:ascii="Arial" w:eastAsia="Times New Roman" w:hAnsi="Arial" w:cs="Arial"/>
              <w:kern w:val="1"/>
              <w:sz w:val="18"/>
              <w:szCs w:val="20"/>
            </w:rPr>
            <w:fldChar w:fldCharType="end"/>
          </w:r>
          <w:r w:rsidRPr="00DE7093">
            <w:rPr>
              <w:rFonts w:ascii="Arial" w:eastAsia="Times New Roman" w:hAnsi="Arial" w:cs="Arial"/>
              <w:kern w:val="1"/>
              <w:sz w:val="18"/>
              <w:szCs w:val="20"/>
            </w:rPr>
            <w:t xml:space="preserve"> of </w:t>
          </w:r>
          <w:r w:rsidRPr="00DE7093">
            <w:rPr>
              <w:rFonts w:ascii="Arial" w:eastAsia="Times New Roman" w:hAnsi="Arial" w:cs="Arial"/>
              <w:kern w:val="1"/>
              <w:sz w:val="18"/>
              <w:szCs w:val="20"/>
            </w:rPr>
            <w:fldChar w:fldCharType="begin"/>
          </w:r>
          <w:r w:rsidRPr="00DE7093">
            <w:rPr>
              <w:rFonts w:ascii="Arial" w:eastAsia="Times New Roman" w:hAnsi="Arial" w:cs="Arial"/>
              <w:kern w:val="1"/>
              <w:sz w:val="18"/>
              <w:szCs w:val="20"/>
            </w:rPr>
            <w:instrText xml:space="preserve"> NUMPAGES \* ARABIC </w:instrText>
          </w:r>
          <w:r w:rsidRPr="00DE7093">
            <w:rPr>
              <w:rFonts w:ascii="Arial" w:eastAsia="Times New Roman" w:hAnsi="Arial" w:cs="Arial"/>
              <w:kern w:val="1"/>
              <w:sz w:val="18"/>
              <w:szCs w:val="20"/>
            </w:rPr>
            <w:fldChar w:fldCharType="separate"/>
          </w:r>
          <w:r>
            <w:rPr>
              <w:rFonts w:ascii="Arial" w:eastAsia="Times New Roman" w:hAnsi="Arial" w:cs="Arial"/>
              <w:noProof/>
              <w:kern w:val="1"/>
              <w:sz w:val="18"/>
              <w:szCs w:val="20"/>
            </w:rPr>
            <w:t>6</w:t>
          </w:r>
          <w:r w:rsidRPr="00DE7093">
            <w:rPr>
              <w:rFonts w:ascii="Arial" w:eastAsia="Times New Roman" w:hAnsi="Arial" w:cs="Arial"/>
              <w:kern w:val="1"/>
              <w:sz w:val="18"/>
              <w:szCs w:val="20"/>
            </w:rPr>
            <w:fldChar w:fldCharType="end"/>
          </w:r>
        </w:p>
      </w:tc>
      <w:tc>
        <w:tcPr>
          <w:tcW w:w="2166" w:type="dxa"/>
          <w:vMerge/>
          <w:tcBorders>
            <w:top w:val="single" w:sz="4" w:space="0" w:color="00000A"/>
            <w:left w:val="single" w:sz="4" w:space="0" w:color="00000A"/>
            <w:bottom w:val="single" w:sz="4" w:space="0" w:color="00000A"/>
            <w:right w:val="single" w:sz="4" w:space="0" w:color="00000A"/>
          </w:tcBorders>
          <w:shd w:val="clear" w:color="auto" w:fill="auto"/>
        </w:tcPr>
        <w:p w14:paraId="2DE6190E" w14:textId="77777777" w:rsidR="00224911" w:rsidRPr="00DE7093" w:rsidRDefault="00224911" w:rsidP="00DE7093">
          <w:pPr>
            <w:tabs>
              <w:tab w:val="center" w:pos="4153"/>
              <w:tab w:val="right" w:pos="8306"/>
            </w:tabs>
            <w:suppressAutoHyphens/>
            <w:snapToGrid w:val="0"/>
            <w:spacing w:after="0" w:line="240" w:lineRule="auto"/>
            <w:jc w:val="center"/>
            <w:textAlignment w:val="baseline"/>
            <w:rPr>
              <w:rFonts w:ascii="Arial" w:eastAsia="Times New Roman" w:hAnsi="Arial" w:cs="Arial"/>
              <w:kern w:val="1"/>
              <w:sz w:val="18"/>
              <w:szCs w:val="20"/>
            </w:rPr>
          </w:pPr>
        </w:p>
      </w:tc>
    </w:tr>
  </w:tbl>
  <w:p w14:paraId="369238D3" w14:textId="77777777" w:rsidR="00DE7093" w:rsidRDefault="00DE7093">
    <w:pPr>
      <w:pStyle w:val="Footer"/>
    </w:pPr>
  </w:p>
  <w:p w14:paraId="229ACF4B" w14:textId="77777777" w:rsidR="00DE7093" w:rsidRDefault="00DE7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888C" w14:textId="77777777" w:rsidR="00224911" w:rsidRDefault="00224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03A7" w14:textId="77777777" w:rsidR="00265180" w:rsidRDefault="00265180" w:rsidP="00DE7093">
      <w:pPr>
        <w:spacing w:after="0" w:line="240" w:lineRule="auto"/>
      </w:pPr>
      <w:r>
        <w:separator/>
      </w:r>
    </w:p>
  </w:footnote>
  <w:footnote w:type="continuationSeparator" w:id="0">
    <w:p w14:paraId="1BD34C69" w14:textId="77777777" w:rsidR="00265180" w:rsidRDefault="00265180" w:rsidP="00DE7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FD09" w14:textId="77777777" w:rsidR="00224911" w:rsidRDefault="00224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0" w:type="dxa"/>
      <w:tblLayout w:type="fixed"/>
      <w:tblCellMar>
        <w:top w:w="55" w:type="dxa"/>
        <w:bottom w:w="55" w:type="dxa"/>
      </w:tblCellMar>
      <w:tblLook w:val="0000" w:firstRow="0" w:lastRow="0" w:firstColumn="0" w:lastColumn="0" w:noHBand="0" w:noVBand="0"/>
    </w:tblPr>
    <w:tblGrid>
      <w:gridCol w:w="3043"/>
      <w:gridCol w:w="7025"/>
    </w:tblGrid>
    <w:tr w:rsidR="00DE7093" w:rsidRPr="00DE7093" w14:paraId="16AF7489" w14:textId="77777777" w:rsidTr="00C76547">
      <w:trPr>
        <w:cantSplit/>
        <w:trHeight w:val="765"/>
      </w:trPr>
      <w:tc>
        <w:tcPr>
          <w:tcW w:w="3043" w:type="dxa"/>
          <w:vMerge w:val="restart"/>
          <w:tcBorders>
            <w:top w:val="single" w:sz="8" w:space="0" w:color="000000"/>
            <w:left w:val="single" w:sz="8" w:space="0" w:color="000000"/>
            <w:bottom w:val="single" w:sz="8" w:space="0" w:color="000000"/>
          </w:tcBorders>
          <w:shd w:val="clear" w:color="auto" w:fill="auto"/>
          <w:vAlign w:val="center"/>
        </w:tcPr>
        <w:p w14:paraId="2476B90B" w14:textId="77777777" w:rsidR="00DE7093" w:rsidRPr="00DE7093" w:rsidRDefault="00DE7093" w:rsidP="00DE7093">
          <w:pPr>
            <w:suppressAutoHyphens/>
            <w:snapToGrid w:val="0"/>
            <w:spacing w:before="50" w:after="50" w:line="240" w:lineRule="auto"/>
            <w:textAlignment w:val="baseline"/>
            <w:rPr>
              <w:rFonts w:ascii="Arial" w:eastAsia="Times New Roman" w:hAnsi="Arial" w:cs="Times New Roman"/>
              <w:kern w:val="1"/>
              <w:sz w:val="20"/>
              <w:szCs w:val="20"/>
            </w:rPr>
          </w:pPr>
          <w:r w:rsidRPr="00DE7093">
            <w:rPr>
              <w:rFonts w:ascii="Arial" w:eastAsia="Times New Roman" w:hAnsi="Arial" w:cs="Times New Roman"/>
              <w:noProof/>
              <w:kern w:val="1"/>
              <w:sz w:val="20"/>
              <w:szCs w:val="20"/>
              <w:lang w:eastAsia="en-GB"/>
            </w:rPr>
            <w:drawing>
              <wp:anchor distT="0" distB="0" distL="0" distR="0" simplePos="0" relativeHeight="251659264" behindDoc="0" locked="0" layoutInCell="1" allowOverlap="1" wp14:anchorId="012ABAD2" wp14:editId="5F4DC1A9">
                <wp:simplePos x="0" y="0"/>
                <wp:positionH relativeFrom="column">
                  <wp:posOffset>-13970</wp:posOffset>
                </wp:positionH>
                <wp:positionV relativeFrom="paragraph">
                  <wp:posOffset>149225</wp:posOffset>
                </wp:positionV>
                <wp:extent cx="1812290" cy="963295"/>
                <wp:effectExtent l="0" t="0" r="0" b="8255"/>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290" cy="96329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7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A595A9" w14:textId="77777777" w:rsidR="00DE7093" w:rsidRPr="00DE7093" w:rsidRDefault="00DE7093" w:rsidP="00DE7093">
          <w:pPr>
            <w:keepNext/>
            <w:tabs>
              <w:tab w:val="left" w:pos="567"/>
            </w:tabs>
            <w:suppressAutoHyphens/>
            <w:spacing w:before="60" w:after="60" w:line="240" w:lineRule="auto"/>
            <w:ind w:left="567"/>
            <w:textAlignment w:val="baseline"/>
            <w:outlineLvl w:val="4"/>
            <w:rPr>
              <w:rFonts w:ascii="Arial" w:eastAsia="Times New Roman" w:hAnsi="Arial" w:cs="Times New Roman"/>
              <w:b/>
              <w:caps/>
              <w:color w:val="0000FF"/>
              <w:kern w:val="1"/>
              <w:sz w:val="24"/>
              <w:szCs w:val="20"/>
            </w:rPr>
          </w:pPr>
          <w:r w:rsidRPr="00DE7093">
            <w:rPr>
              <w:rFonts w:ascii="Arial" w:eastAsia="Times New Roman" w:hAnsi="Arial" w:cs="Times New Roman"/>
              <w:b/>
              <w:caps/>
              <w:kern w:val="1"/>
              <w:sz w:val="24"/>
              <w:szCs w:val="20"/>
            </w:rPr>
            <w:t>HERTFORDSHIRE Hearing advisory service</w:t>
          </w:r>
        </w:p>
        <w:p w14:paraId="606B7D36" w14:textId="77777777" w:rsidR="00DE7093" w:rsidRPr="00DE7093" w:rsidRDefault="00DE7093" w:rsidP="00DE7093">
          <w:pPr>
            <w:keepNext/>
            <w:tabs>
              <w:tab w:val="left" w:pos="567"/>
            </w:tabs>
            <w:suppressAutoHyphens/>
            <w:spacing w:before="60" w:after="60" w:line="240" w:lineRule="auto"/>
            <w:ind w:left="567"/>
            <w:textAlignment w:val="baseline"/>
            <w:outlineLvl w:val="4"/>
            <w:rPr>
              <w:rFonts w:ascii="Arial" w:eastAsia="Times New Roman" w:hAnsi="Arial" w:cs="Times New Roman"/>
              <w:b/>
              <w:caps/>
              <w:color w:val="0000FF"/>
              <w:kern w:val="1"/>
              <w:sz w:val="24"/>
              <w:szCs w:val="20"/>
            </w:rPr>
          </w:pPr>
          <w:r w:rsidRPr="00DE7093">
            <w:rPr>
              <w:rFonts w:ascii="Arial" w:eastAsia="Times New Roman" w:hAnsi="Arial" w:cs="Times New Roman"/>
              <w:b/>
              <w:caps/>
              <w:kern w:val="1"/>
              <w:sz w:val="24"/>
              <w:szCs w:val="20"/>
            </w:rPr>
            <w:t>policies and procedures</w:t>
          </w:r>
        </w:p>
      </w:tc>
    </w:tr>
    <w:tr w:rsidR="00DE7093" w:rsidRPr="00DE7093" w14:paraId="4C716E73" w14:textId="77777777" w:rsidTr="00C76547">
      <w:trPr>
        <w:cantSplit/>
        <w:trHeight w:val="497"/>
      </w:trPr>
      <w:tc>
        <w:tcPr>
          <w:tcW w:w="3043" w:type="dxa"/>
          <w:vMerge/>
          <w:tcBorders>
            <w:left w:val="single" w:sz="8" w:space="0" w:color="000000"/>
            <w:bottom w:val="single" w:sz="8" w:space="0" w:color="000000"/>
          </w:tcBorders>
          <w:shd w:val="clear" w:color="auto" w:fill="auto"/>
        </w:tcPr>
        <w:p w14:paraId="64165F2B" w14:textId="77777777" w:rsidR="00DE7093" w:rsidRPr="00DE7093" w:rsidRDefault="00DE7093" w:rsidP="00DE7093">
          <w:pPr>
            <w:tabs>
              <w:tab w:val="center" w:pos="900"/>
            </w:tabs>
            <w:suppressAutoHyphens/>
            <w:snapToGrid w:val="0"/>
            <w:spacing w:before="50" w:after="50" w:line="240" w:lineRule="auto"/>
            <w:jc w:val="center"/>
            <w:textAlignment w:val="baseline"/>
            <w:rPr>
              <w:rFonts w:ascii="Arial" w:eastAsia="Times New Roman" w:hAnsi="Arial" w:cs="Times New Roman"/>
              <w:kern w:val="1"/>
              <w:sz w:val="20"/>
              <w:szCs w:val="20"/>
            </w:rPr>
          </w:pPr>
        </w:p>
      </w:tc>
      <w:tc>
        <w:tcPr>
          <w:tcW w:w="702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494DE5B0" w14:textId="77777777" w:rsidR="00DE7093" w:rsidRPr="00DE7093" w:rsidRDefault="00DE7093" w:rsidP="000F77EC">
          <w:pPr>
            <w:tabs>
              <w:tab w:val="left" w:pos="675"/>
            </w:tabs>
            <w:suppressAutoHyphens/>
            <w:snapToGrid w:val="0"/>
            <w:spacing w:after="0" w:line="240" w:lineRule="auto"/>
            <w:ind w:left="567"/>
            <w:textAlignment w:val="baseline"/>
            <w:rPr>
              <w:rFonts w:ascii="Arial" w:eastAsia="Times New Roman" w:hAnsi="Arial" w:cs="Times New Roman"/>
              <w:b/>
              <w:caps/>
              <w:kern w:val="1"/>
              <w:sz w:val="20"/>
              <w:szCs w:val="20"/>
            </w:rPr>
          </w:pPr>
          <w:r>
            <w:rPr>
              <w:rFonts w:ascii="Arial" w:eastAsia="Times New Roman" w:hAnsi="Arial" w:cs="Times New Roman"/>
              <w:b/>
              <w:caps/>
              <w:kern w:val="1"/>
              <w:sz w:val="24"/>
              <w:szCs w:val="24"/>
            </w:rPr>
            <w:t xml:space="preserve">P19 – gENERAL Data PROTECTION REGULATION (GDPR) POLICY </w:t>
          </w:r>
        </w:p>
      </w:tc>
    </w:tr>
  </w:tbl>
  <w:p w14:paraId="36A6FFA1" w14:textId="77777777" w:rsidR="00DE7093" w:rsidRDefault="00DE7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4FCB" w14:textId="77777777" w:rsidR="00224911" w:rsidRDefault="00224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40AE"/>
    <w:multiLevelType w:val="hybridMultilevel"/>
    <w:tmpl w:val="D13A5F1C"/>
    <w:lvl w:ilvl="0" w:tplc="5D38BE8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 w15:restartNumberingAfterBreak="0">
    <w:nsid w:val="26D159EB"/>
    <w:multiLevelType w:val="hybridMultilevel"/>
    <w:tmpl w:val="B86A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72D0A"/>
    <w:multiLevelType w:val="hybridMultilevel"/>
    <w:tmpl w:val="37EE38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2897D68"/>
    <w:multiLevelType w:val="hybridMultilevel"/>
    <w:tmpl w:val="AC54A6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C6122CF"/>
    <w:multiLevelType w:val="hybridMultilevel"/>
    <w:tmpl w:val="0D02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33089"/>
    <w:multiLevelType w:val="hybridMultilevel"/>
    <w:tmpl w:val="6406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178B7"/>
    <w:multiLevelType w:val="hybridMultilevel"/>
    <w:tmpl w:val="A0822046"/>
    <w:lvl w:ilvl="0" w:tplc="5D38BE8E">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4F75ED"/>
    <w:multiLevelType w:val="hybridMultilevel"/>
    <w:tmpl w:val="C02CC8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A381BAF"/>
    <w:multiLevelType w:val="hybridMultilevel"/>
    <w:tmpl w:val="1A12A8D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AC7E78"/>
    <w:multiLevelType w:val="hybridMultilevel"/>
    <w:tmpl w:val="10D28E2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24CAD09"/>
    <w:multiLevelType w:val="multilevel"/>
    <w:tmpl w:val="217A9D3E"/>
    <w:name w:val="Clauses"/>
    <w:lvl w:ilvl="0">
      <w:start w:val="1"/>
      <w:numFmt w:val="decimal"/>
      <w:pStyle w:val="Level1Heading"/>
      <w:lvlText w:val="%1"/>
      <w:lvlJc w:val="left"/>
      <w:pPr>
        <w:tabs>
          <w:tab w:val="num" w:pos="720"/>
        </w:tabs>
        <w:ind w:left="720" w:hanging="720"/>
      </w:pPr>
      <w:rPr>
        <w:rFonts w:cs="Times New Roman"/>
      </w:rPr>
    </w:lvl>
    <w:lvl w:ilvl="1">
      <w:start w:val="1"/>
      <w:numFmt w:val="decimal"/>
      <w:pStyle w:val="Level2Number"/>
      <w:lvlText w:val="%1.%2"/>
      <w:lvlJc w:val="left"/>
      <w:pPr>
        <w:tabs>
          <w:tab w:val="num" w:pos="720"/>
        </w:tabs>
        <w:ind w:left="720" w:hanging="720"/>
      </w:pPr>
      <w:rPr>
        <w:rFonts w:cs="Times New Roman"/>
      </w:rPr>
    </w:lvl>
    <w:lvl w:ilvl="2">
      <w:start w:val="1"/>
      <w:numFmt w:val="decimal"/>
      <w:pStyle w:val="Level3Number"/>
      <w:lvlText w:val="%1.%2.%3"/>
      <w:lvlJc w:val="left"/>
      <w:pPr>
        <w:tabs>
          <w:tab w:val="num" w:pos="1440"/>
        </w:tabs>
        <w:ind w:left="1440" w:hanging="720"/>
      </w:pPr>
      <w:rPr>
        <w:rFonts w:cs="Times New Roman"/>
      </w:rPr>
    </w:lvl>
    <w:lvl w:ilvl="3">
      <w:start w:val="1"/>
      <w:numFmt w:val="lowerLetter"/>
      <w:pStyle w:val="Level4Number"/>
      <w:lvlText w:val="(%4)"/>
      <w:lvlJc w:val="left"/>
      <w:pPr>
        <w:tabs>
          <w:tab w:val="num" w:pos="2160"/>
        </w:tabs>
        <w:ind w:left="2160" w:hanging="720"/>
      </w:pPr>
      <w:rPr>
        <w:rFonts w:cs="Times New Roman"/>
      </w:rPr>
    </w:lvl>
    <w:lvl w:ilvl="4">
      <w:start w:val="1"/>
      <w:numFmt w:val="lowerRoman"/>
      <w:pStyle w:val="Level5Number"/>
      <w:lvlText w:val="(%5)"/>
      <w:lvlJc w:val="left"/>
      <w:pPr>
        <w:tabs>
          <w:tab w:val="num" w:pos="2880"/>
        </w:tabs>
        <w:ind w:left="2880" w:hanging="720"/>
      </w:pPr>
      <w:rPr>
        <w:rFonts w:cs="Times New Roman"/>
      </w:rPr>
    </w:lvl>
    <w:lvl w:ilvl="5">
      <w:start w:val="1"/>
      <w:numFmt w:val="upperLetter"/>
      <w:pStyle w:val="Level6Number"/>
      <w:lvlText w:val="(%6)"/>
      <w:lvlJc w:val="left"/>
      <w:pPr>
        <w:tabs>
          <w:tab w:val="num" w:pos="2880"/>
        </w:tabs>
        <w:ind w:left="2880" w:hanging="720"/>
      </w:pPr>
      <w:rPr>
        <w:rFonts w:cs="Times New Roman"/>
      </w:rPr>
    </w:lvl>
    <w:lvl w:ilvl="6">
      <w:start w:val="1"/>
      <w:numFmt w:val="upperRoman"/>
      <w:pStyle w:val="Level7Number"/>
      <w:lvlText w:val="(%7)"/>
      <w:lvlJc w:val="left"/>
      <w:pPr>
        <w:tabs>
          <w:tab w:val="num" w:pos="2880"/>
        </w:tabs>
        <w:ind w:left="2880" w:hanging="720"/>
      </w:pPr>
      <w:rPr>
        <w:rFonts w:cs="Times New Roman"/>
      </w:rPr>
    </w:lvl>
    <w:lvl w:ilvl="7">
      <w:start w:val="1"/>
      <w:numFmt w:val="decimal"/>
      <w:lvlText w:val=""/>
      <w:lvlJc w:val="left"/>
      <w:pPr>
        <w:ind w:left="0" w:firstLine="0"/>
      </w:pPr>
      <w:rPr>
        <w:rFonts w:cs="Times New Roman"/>
      </w:rPr>
    </w:lvl>
    <w:lvl w:ilvl="8">
      <w:start w:val="1"/>
      <w:numFmt w:val="decimal"/>
      <w:lvlText w:val=""/>
      <w:lvlJc w:val="left"/>
      <w:pPr>
        <w:ind w:left="0" w:firstLine="0"/>
      </w:pPr>
      <w:rPr>
        <w:rFonts w:cs="Times New Roman"/>
      </w:rPr>
    </w:lvl>
  </w:abstractNum>
  <w:num w:numId="1" w16cid:durableId="225528933">
    <w:abstractNumId w:val="8"/>
  </w:num>
  <w:num w:numId="2" w16cid:durableId="1505432715">
    <w:abstractNumId w:val="0"/>
  </w:num>
  <w:num w:numId="3" w16cid:durableId="1769233011">
    <w:abstractNumId w:val="2"/>
  </w:num>
  <w:num w:numId="4" w16cid:durableId="13381714">
    <w:abstractNumId w:val="1"/>
  </w:num>
  <w:num w:numId="5" w16cid:durableId="744497151">
    <w:abstractNumId w:val="9"/>
  </w:num>
  <w:num w:numId="6" w16cid:durableId="609706682">
    <w:abstractNumId w:val="3"/>
  </w:num>
  <w:num w:numId="7" w16cid:durableId="1297417865">
    <w:abstractNumId w:val="7"/>
  </w:num>
  <w:num w:numId="8" w16cid:durableId="204224591">
    <w:abstractNumId w:val="4"/>
  </w:num>
  <w:num w:numId="9" w16cid:durableId="1138108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736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8458123">
    <w:abstractNumId w:val="6"/>
  </w:num>
  <w:num w:numId="12" w16cid:durableId="287394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E9"/>
    <w:rsid w:val="000B455D"/>
    <w:rsid w:val="000F77EC"/>
    <w:rsid w:val="00127158"/>
    <w:rsid w:val="001D4D94"/>
    <w:rsid w:val="001E180C"/>
    <w:rsid w:val="001E1D69"/>
    <w:rsid w:val="00200FB7"/>
    <w:rsid w:val="00224911"/>
    <w:rsid w:val="00265180"/>
    <w:rsid w:val="00303FE7"/>
    <w:rsid w:val="003A68EC"/>
    <w:rsid w:val="004B3BE5"/>
    <w:rsid w:val="004D0080"/>
    <w:rsid w:val="004D4BAD"/>
    <w:rsid w:val="004F0B39"/>
    <w:rsid w:val="004F618F"/>
    <w:rsid w:val="00500DFF"/>
    <w:rsid w:val="005127E9"/>
    <w:rsid w:val="005157E9"/>
    <w:rsid w:val="00587ACD"/>
    <w:rsid w:val="005A55D3"/>
    <w:rsid w:val="005C5785"/>
    <w:rsid w:val="005F0B4F"/>
    <w:rsid w:val="006A01D8"/>
    <w:rsid w:val="00705913"/>
    <w:rsid w:val="007D4D54"/>
    <w:rsid w:val="007F7091"/>
    <w:rsid w:val="00860FB9"/>
    <w:rsid w:val="00871D93"/>
    <w:rsid w:val="008A197F"/>
    <w:rsid w:val="008A6BC2"/>
    <w:rsid w:val="008C43FE"/>
    <w:rsid w:val="008E6374"/>
    <w:rsid w:val="00934039"/>
    <w:rsid w:val="00985B37"/>
    <w:rsid w:val="00A21443"/>
    <w:rsid w:val="00A35AA6"/>
    <w:rsid w:val="00A97431"/>
    <w:rsid w:val="00B3483B"/>
    <w:rsid w:val="00C011DE"/>
    <w:rsid w:val="00C149A9"/>
    <w:rsid w:val="00CB7170"/>
    <w:rsid w:val="00D26145"/>
    <w:rsid w:val="00D81F92"/>
    <w:rsid w:val="00DC409E"/>
    <w:rsid w:val="00DE7093"/>
    <w:rsid w:val="00E460C6"/>
    <w:rsid w:val="00F249A8"/>
    <w:rsid w:val="00F64C37"/>
    <w:rsid w:val="00FD4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1CD8B"/>
  <w15:chartTrackingRefBased/>
  <w15:docId w15:val="{EBD70236-45FC-4BFC-93E5-F0CE410E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158"/>
    <w:pPr>
      <w:ind w:left="720"/>
      <w:contextualSpacing/>
    </w:pPr>
  </w:style>
  <w:style w:type="paragraph" w:customStyle="1" w:styleId="Level1Heading">
    <w:name w:val="Level 1 Heading"/>
    <w:basedOn w:val="Normal"/>
    <w:rsid w:val="007F7091"/>
    <w:pPr>
      <w:keepNext/>
      <w:numPr>
        <w:numId w:val="9"/>
      </w:numPr>
      <w:spacing w:before="120" w:after="120" w:line="240" w:lineRule="auto"/>
    </w:pPr>
    <w:rPr>
      <w:rFonts w:ascii="Calibri" w:hAnsi="Calibri" w:cs="Calibri"/>
      <w:b/>
      <w:bCs/>
      <w:sz w:val="20"/>
      <w:szCs w:val="20"/>
      <w:lang w:eastAsia="en-GB"/>
    </w:rPr>
  </w:style>
  <w:style w:type="paragraph" w:customStyle="1" w:styleId="Level2Number">
    <w:name w:val="Level 2 Number"/>
    <w:basedOn w:val="Normal"/>
    <w:rsid w:val="007F7091"/>
    <w:pPr>
      <w:numPr>
        <w:ilvl w:val="1"/>
        <w:numId w:val="9"/>
      </w:numPr>
      <w:spacing w:before="120" w:after="120" w:line="240" w:lineRule="auto"/>
      <w:ind w:left="0" w:firstLine="0"/>
    </w:pPr>
    <w:rPr>
      <w:rFonts w:ascii="Calibri" w:hAnsi="Calibri" w:cs="Calibri"/>
      <w:sz w:val="20"/>
      <w:szCs w:val="20"/>
      <w:lang w:eastAsia="en-GB"/>
    </w:rPr>
  </w:style>
  <w:style w:type="paragraph" w:customStyle="1" w:styleId="Level3Number">
    <w:name w:val="Level 3 Number"/>
    <w:basedOn w:val="Normal"/>
    <w:rsid w:val="007F7091"/>
    <w:pPr>
      <w:numPr>
        <w:ilvl w:val="2"/>
        <w:numId w:val="9"/>
      </w:numPr>
      <w:spacing w:after="120" w:line="240" w:lineRule="auto"/>
      <w:ind w:left="0" w:firstLine="0"/>
    </w:pPr>
    <w:rPr>
      <w:rFonts w:ascii="Calibri" w:hAnsi="Calibri" w:cs="Calibri"/>
      <w:sz w:val="20"/>
      <w:szCs w:val="20"/>
      <w:lang w:eastAsia="en-GB"/>
    </w:rPr>
  </w:style>
  <w:style w:type="paragraph" w:customStyle="1" w:styleId="Level4Number">
    <w:name w:val="Level 4 Number"/>
    <w:basedOn w:val="Normal"/>
    <w:rsid w:val="007F7091"/>
    <w:pPr>
      <w:numPr>
        <w:ilvl w:val="3"/>
        <w:numId w:val="9"/>
      </w:numPr>
      <w:spacing w:after="60" w:line="240" w:lineRule="auto"/>
    </w:pPr>
    <w:rPr>
      <w:rFonts w:ascii="Calibri" w:hAnsi="Calibri" w:cs="Calibri"/>
      <w:sz w:val="20"/>
      <w:szCs w:val="20"/>
      <w:lang w:eastAsia="en-GB"/>
    </w:rPr>
  </w:style>
  <w:style w:type="paragraph" w:customStyle="1" w:styleId="Level5Number">
    <w:name w:val="Level 5 Number"/>
    <w:basedOn w:val="Normal"/>
    <w:rsid w:val="007F7091"/>
    <w:pPr>
      <w:numPr>
        <w:ilvl w:val="4"/>
        <w:numId w:val="9"/>
      </w:numPr>
      <w:spacing w:after="60" w:line="240" w:lineRule="auto"/>
    </w:pPr>
    <w:rPr>
      <w:rFonts w:ascii="Calibri" w:hAnsi="Calibri" w:cs="Calibri"/>
      <w:sz w:val="20"/>
      <w:szCs w:val="20"/>
      <w:lang w:eastAsia="en-GB"/>
    </w:rPr>
  </w:style>
  <w:style w:type="paragraph" w:customStyle="1" w:styleId="Level6Number">
    <w:name w:val="Level 6 Number"/>
    <w:basedOn w:val="Normal"/>
    <w:rsid w:val="007F7091"/>
    <w:pPr>
      <w:numPr>
        <w:ilvl w:val="5"/>
        <w:numId w:val="9"/>
      </w:numPr>
      <w:spacing w:after="60" w:line="240" w:lineRule="auto"/>
    </w:pPr>
    <w:rPr>
      <w:rFonts w:ascii="Calibri" w:hAnsi="Calibri" w:cs="Calibri"/>
      <w:sz w:val="20"/>
      <w:szCs w:val="20"/>
      <w:lang w:eastAsia="en-GB"/>
    </w:rPr>
  </w:style>
  <w:style w:type="paragraph" w:customStyle="1" w:styleId="Level7Number">
    <w:name w:val="Level 7 Number"/>
    <w:basedOn w:val="Normal"/>
    <w:rsid w:val="007F7091"/>
    <w:pPr>
      <w:numPr>
        <w:ilvl w:val="6"/>
        <w:numId w:val="9"/>
      </w:numPr>
      <w:spacing w:after="60" w:line="240" w:lineRule="auto"/>
    </w:pPr>
    <w:rPr>
      <w:rFonts w:ascii="Calibri" w:hAnsi="Calibri" w:cs="Calibri"/>
      <w:sz w:val="20"/>
      <w:szCs w:val="20"/>
      <w:lang w:eastAsia="en-GB"/>
    </w:rPr>
  </w:style>
  <w:style w:type="paragraph" w:styleId="Header">
    <w:name w:val="header"/>
    <w:basedOn w:val="Normal"/>
    <w:link w:val="HeaderChar"/>
    <w:uiPriority w:val="99"/>
    <w:unhideWhenUsed/>
    <w:rsid w:val="00DE7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093"/>
  </w:style>
  <w:style w:type="paragraph" w:styleId="Footer">
    <w:name w:val="footer"/>
    <w:basedOn w:val="Normal"/>
    <w:link w:val="FooterChar"/>
    <w:uiPriority w:val="99"/>
    <w:unhideWhenUsed/>
    <w:rsid w:val="00DE7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5A25-DF31-45E3-8679-E9C690B4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Sharpe</dc:creator>
  <cp:keywords/>
  <dc:description/>
  <cp:lastModifiedBy>Waller, Maria</cp:lastModifiedBy>
  <cp:revision>3</cp:revision>
  <cp:lastPrinted>2018-06-06T09:18:00Z</cp:lastPrinted>
  <dcterms:created xsi:type="dcterms:W3CDTF">2024-03-11T10:55:00Z</dcterms:created>
  <dcterms:modified xsi:type="dcterms:W3CDTF">2024-03-11T10:56:00Z</dcterms:modified>
</cp:coreProperties>
</file>