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906C" w14:textId="77777777" w:rsidR="00C21A66" w:rsidRDefault="00C21A66">
      <w:pPr>
        <w:pStyle w:val="GuideTitle"/>
      </w:pPr>
      <w:r>
        <w:t>IMPORTANT NOTICE</w:t>
      </w:r>
    </w:p>
    <w:p w14:paraId="4650862E" w14:textId="77777777" w:rsidR="00C21A66" w:rsidRDefault="00C21A66">
      <w:pPr>
        <w:pStyle w:val="GuideTitle"/>
      </w:pPr>
      <w:r>
        <w:t>TV, Satellite &amp; Aerial System – Resident Guide and Fault Reporting</w:t>
      </w:r>
    </w:p>
    <w:p w14:paraId="1A3871CC" w14:textId="77777777" w:rsidR="00C21A66" w:rsidRDefault="00C21A66">
      <w:pPr>
        <w:rPr>
          <w:rFonts w:cstheme="minorBidi"/>
          <w:sz w:val="52"/>
          <w:szCs w:val="52"/>
        </w:rPr>
      </w:pPr>
      <w:r>
        <w:t xml:space="preserve">The Old Meadow has a communal Fibre Integrated Reception System </w:t>
      </w:r>
      <w:r>
        <w:rPr>
          <w:b/>
          <w:bCs/>
        </w:rPr>
        <w:t>(FIRS)</w:t>
      </w:r>
      <w:r>
        <w:t xml:space="preserve">, providing terrestrial and satellite signals to properties via Gateway Termination Units </w:t>
      </w:r>
      <w:r>
        <w:rPr>
          <w:b/>
          <w:bCs/>
        </w:rPr>
        <w:t>(GTUs)</w:t>
      </w:r>
      <w:r>
        <w:t xml:space="preserve"> located within individual properties and in apartment block lofts.</w:t>
      </w:r>
    </w:p>
    <w:p w14:paraId="027265D9" w14:textId="77777777" w:rsidR="00C21A66" w:rsidRDefault="00C21A66">
      <w:pPr>
        <w:rPr>
          <w:rFonts w:cstheme="minorBidi"/>
          <w:sz w:val="52"/>
          <w:szCs w:val="52"/>
        </w:rPr>
      </w:pPr>
      <w:r>
        <w:t>A satellite GTU is a hardware device used in FIRS to convert incoming optical fibre signals from a communal satellite dish and aerial into standard radio frequency (RF) coaxial signals for home TV and radio receivers.</w:t>
      </w:r>
    </w:p>
    <w:p w14:paraId="79B9D4ED" w14:textId="77777777" w:rsidR="00C21A66" w:rsidRDefault="00C21A66">
      <w:pPr>
        <w:rPr>
          <w:rFonts w:cstheme="minorBidi"/>
          <w:sz w:val="48"/>
          <w:szCs w:val="48"/>
        </w:rPr>
      </w:pPr>
      <w:r>
        <w:t>Montgomery House has a different arrangement, with individual satellite dishes.</w:t>
      </w:r>
    </w:p>
    <w:p w14:paraId="692A708C" w14:textId="77777777" w:rsidR="00C21A66" w:rsidRDefault="00C21A66">
      <w:pPr>
        <w:rPr>
          <w:rFonts w:cstheme="minorBidi"/>
          <w:sz w:val="52"/>
          <w:szCs w:val="52"/>
        </w:rPr>
      </w:pPr>
      <w:r>
        <w:t>Under the estate covenants, residents must not install individual satellite dishes, aerials or other external receiving equipment without the appropriate permission.</w:t>
      </w:r>
    </w:p>
    <w:p w14:paraId="1C2CA392" w14:textId="77777777" w:rsidR="00C21A66" w:rsidRDefault="00C21A66">
      <w:pPr>
        <w:pStyle w:val="GuideNoteHeading"/>
        <w:shd w:val="clear" w:color="auto" w:fill="EDEDED"/>
        <w:spacing w:before="160"/>
        <w:rPr>
          <w:rFonts w:cstheme="minorBidi"/>
          <w:sz w:val="52"/>
          <w:szCs w:val="52"/>
        </w:rPr>
      </w:pPr>
      <w:r>
        <w:t>PLEASE NOTE:</w:t>
      </w:r>
    </w:p>
    <w:p w14:paraId="778BE36A" w14:textId="77777777" w:rsidR="00C21A66" w:rsidRDefault="00C21A66">
      <w:pPr>
        <w:shd w:val="clear" w:color="auto" w:fill="E7E6E6"/>
        <w:rPr>
          <w:rFonts w:cstheme="minorBidi"/>
          <w:sz w:val="52"/>
          <w:szCs w:val="52"/>
        </w:rPr>
      </w:pPr>
      <w:r>
        <w:t>From 1 January 2028, The Old Meadow will begin phasing out the existing communal FIRS due to the substantially increased cost of upgrading and maintaining the system. This reflects the increasing availability and use of internet-based and streamed television services.</w:t>
      </w:r>
    </w:p>
    <w:p w14:paraId="4CA04F5F" w14:textId="77777777" w:rsidR="00C21A66" w:rsidRDefault="00C21A66">
      <w:pPr>
        <w:shd w:val="clear" w:color="auto" w:fill="E7E6E6"/>
        <w:rPr>
          <w:rFonts w:cstheme="minorBidi"/>
          <w:sz w:val="52"/>
          <w:szCs w:val="52"/>
        </w:rPr>
      </w:pPr>
      <w:r>
        <w:t>From this date, residents should be aware that communal television and satellite services may be reduced or may no longer be available to their property. Residents may therefore need to make their own arrangements for receiving television services, for example by using a television with built-in Freeview where a suitable signal is available and/or by subscribing to internet-based streaming services.</w:t>
      </w:r>
    </w:p>
    <w:p w14:paraId="3D11BEB6" w14:textId="77777777" w:rsidR="00C21A66" w:rsidRDefault="00C21A66">
      <w:pPr>
        <w:pStyle w:val="GuideHeading"/>
        <w:rPr>
          <w:rFonts w:cstheme="minorBidi"/>
          <w:sz w:val="52"/>
          <w:szCs w:val="52"/>
        </w:rPr>
      </w:pPr>
      <w:r>
        <w:t>If you have a TV or satellite signal problem</w:t>
      </w:r>
    </w:p>
    <w:p w14:paraId="6CCE25BB" w14:textId="77777777" w:rsidR="00C21A66" w:rsidRDefault="00C21A66">
      <w:pPr>
        <w:pStyle w:val="ListNumber"/>
        <w:numPr>
          <w:ilvl w:val="0"/>
          <w:numId w:val="17"/>
        </w:numPr>
        <w:spacing w:after="80" w:line="259" w:lineRule="auto"/>
        <w:rPr>
          <w:rFonts w:cstheme="minorBidi"/>
        </w:rPr>
      </w:pPr>
      <w:r>
        <w:t>Please do not report the fault to Warwick Estates as your first step.</w:t>
      </w:r>
    </w:p>
    <w:p w14:paraId="3B8A5A10" w14:textId="77777777" w:rsidR="00C21A66" w:rsidRDefault="00C21A66">
      <w:pPr>
        <w:pStyle w:val="ListNumber"/>
        <w:numPr>
          <w:ilvl w:val="0"/>
          <w:numId w:val="17"/>
        </w:numPr>
        <w:spacing w:after="80" w:line="259" w:lineRule="auto"/>
        <w:rPr>
          <w:rFonts w:cstheme="minorBidi"/>
        </w:rPr>
      </w:pPr>
      <w:r>
        <w:t>Arrange and pay for your own TV/aerial contractor to check your GTU, television equipment, connections and other associated equipment in your property first.</w:t>
      </w:r>
    </w:p>
    <w:p w14:paraId="45ADFDA4" w14:textId="77777777" w:rsidR="00C21A66" w:rsidRDefault="00C21A66">
      <w:pPr>
        <w:pStyle w:val="ListNumber"/>
        <w:numPr>
          <w:ilvl w:val="0"/>
          <w:numId w:val="17"/>
        </w:numPr>
        <w:spacing w:after="80" w:line="259" w:lineRule="auto"/>
        <w:rPr>
          <w:rFonts w:cstheme="minorBidi"/>
        </w:rPr>
      </w:pPr>
      <w:r>
        <w:t>If no internal fault is found, obtain a written report from the contractor.</w:t>
      </w:r>
    </w:p>
    <w:p w14:paraId="3EE850A6" w14:textId="77777777" w:rsidR="00C21A66" w:rsidRDefault="00C21A66">
      <w:pPr>
        <w:pStyle w:val="ListNumber"/>
        <w:numPr>
          <w:ilvl w:val="0"/>
          <w:numId w:val="17"/>
        </w:numPr>
        <w:spacing w:after="80" w:line="259" w:lineRule="auto"/>
        <w:rPr>
          <w:rFonts w:cstheme="minorBidi"/>
        </w:rPr>
      </w:pPr>
      <w:r>
        <w:t>Submit the report to Warwick Estates through the customer portal.</w:t>
      </w:r>
    </w:p>
    <w:p w14:paraId="716AC280" w14:textId="77777777" w:rsidR="00C21A66" w:rsidRDefault="00C21A66">
      <w:pPr>
        <w:pStyle w:val="ListNumber"/>
        <w:numPr>
          <w:ilvl w:val="0"/>
          <w:numId w:val="17"/>
        </w:numPr>
        <w:spacing w:after="80" w:line="259" w:lineRule="auto"/>
        <w:rPr>
          <w:rFonts w:cstheme="minorBidi"/>
        </w:rPr>
      </w:pPr>
      <w:r>
        <w:t>Do not allow any contractor to access or alter communal TV equipment without written permission from Warwick Estates.</w:t>
      </w:r>
    </w:p>
    <w:p w14:paraId="27B48C4E" w14:textId="77777777" w:rsidR="00C21A66" w:rsidRDefault="00C21A66">
      <w:pPr>
        <w:pStyle w:val="ListNumber"/>
        <w:numPr>
          <w:ilvl w:val="0"/>
          <w:numId w:val="17"/>
        </w:numPr>
        <w:spacing w:after="80" w:line="259" w:lineRule="auto"/>
        <w:rPr>
          <w:rFonts w:cstheme="minorBidi"/>
        </w:rPr>
      </w:pPr>
      <w:r>
        <w:t>Any individual fault, or any problem caused by unauthorised work, is the financial responsibility of the resident/property owner.</w:t>
      </w:r>
    </w:p>
    <w:p w14:paraId="54776413" w14:textId="77777777" w:rsidR="00C21A66" w:rsidRDefault="00C21A66">
      <w:pPr>
        <w:rPr>
          <w:rFonts w:cstheme="minorBidi"/>
          <w:sz w:val="52"/>
          <w:szCs w:val="52"/>
        </w:rPr>
      </w:pPr>
      <w:r>
        <w:t>Further information on the fault-reporting procedure is set out below.</w:t>
      </w:r>
    </w:p>
    <w:p w14:paraId="034721A5" w14:textId="77777777" w:rsidR="00C21A66" w:rsidRDefault="00C21A66">
      <w:pPr>
        <w:rPr>
          <w:rFonts w:cstheme="minorBidi"/>
          <w:sz w:val="52"/>
          <w:szCs w:val="52"/>
        </w:rPr>
      </w:pPr>
      <w:r>
        <w:t>Residents/property owners are responsible for the television equipment, cabling, connections and apparatus within their own property from the output of the GTU onwards.</w:t>
      </w:r>
    </w:p>
    <w:p w14:paraId="5AE26A44" w14:textId="77777777" w:rsidR="00C21A66" w:rsidRDefault="00C21A66">
      <w:pPr>
        <w:pStyle w:val="GuideSubheading"/>
        <w:pageBreakBefore/>
        <w:spacing w:before="180" w:after="90"/>
        <w:rPr>
          <w:rFonts w:cstheme="minorBidi"/>
          <w:sz w:val="52"/>
          <w:szCs w:val="52"/>
        </w:rPr>
      </w:pPr>
      <w:r>
        <w:t>Step 1 – Arrange your own contractor</w:t>
      </w:r>
    </w:p>
    <w:p w14:paraId="3B139CCE" w14:textId="77777777" w:rsidR="00C21A66" w:rsidRDefault="00C21A66">
      <w:pPr>
        <w:rPr>
          <w:rFonts w:cstheme="minorBidi"/>
          <w:sz w:val="52"/>
          <w:szCs w:val="52"/>
        </w:rPr>
      </w:pPr>
      <w:r>
        <w:t>You must first arrange for a suitably qualified TV/aerial contractor to inspect your GTU, television equipment, internal wiring and connections.</w:t>
      </w:r>
    </w:p>
    <w:p w14:paraId="7A735D1B" w14:textId="77777777" w:rsidR="00C21A66" w:rsidRDefault="00C21A66">
      <w:pPr>
        <w:rPr>
          <w:rFonts w:cstheme="minorBidi"/>
          <w:sz w:val="52"/>
          <w:szCs w:val="52"/>
        </w:rPr>
      </w:pPr>
      <w:r>
        <w:t>Depending on the service required, an updated GTU may be necessary to provide dual output for Sky multiroom or similar. Any replacement or alteration of the GTU must not be undertaken without written permission from Warwick Estates.</w:t>
      </w:r>
    </w:p>
    <w:p w14:paraId="36C7BF95" w14:textId="77777777" w:rsidR="00C21A66" w:rsidRDefault="00C21A66">
      <w:pPr>
        <w:rPr>
          <w:rFonts w:cstheme="minorBidi"/>
          <w:sz w:val="52"/>
          <w:szCs w:val="52"/>
        </w:rPr>
      </w:pPr>
      <w:r>
        <w:t>Any costs relating to reception problems, equipment or apparatus that are specific to an individual property and are not caused by a fault with the communal system must be paid for by the resident/property owner.</w:t>
      </w:r>
    </w:p>
    <w:p w14:paraId="280D8AD3" w14:textId="77777777" w:rsidR="00C21A66" w:rsidRDefault="00C21A66">
      <w:pPr>
        <w:pStyle w:val="GuideSubheading"/>
        <w:spacing w:before="180" w:after="90"/>
        <w:rPr>
          <w:rFonts w:cstheme="minorBidi"/>
          <w:sz w:val="52"/>
          <w:szCs w:val="52"/>
        </w:rPr>
      </w:pPr>
      <w:r>
        <w:t>Step 2 – If no internal fault is found</w:t>
      </w:r>
    </w:p>
    <w:p w14:paraId="2A93965F" w14:textId="77777777" w:rsidR="00C21A66" w:rsidRDefault="00C21A66">
      <w:pPr>
        <w:keepNext/>
        <w:rPr>
          <w:rFonts w:cstheme="minorBidi"/>
          <w:sz w:val="52"/>
          <w:szCs w:val="52"/>
        </w:rPr>
      </w:pPr>
      <w:r>
        <w:t>If your contractor confirms that:</w:t>
      </w:r>
    </w:p>
    <w:p w14:paraId="7AFC8C8E" w14:textId="77777777" w:rsidR="00C21A66" w:rsidRDefault="00C21A66">
      <w:pPr>
        <w:pStyle w:val="ListBullet"/>
        <w:numPr>
          <w:ilvl w:val="0"/>
          <w:numId w:val="13"/>
        </w:numPr>
        <w:spacing w:after="60" w:line="259" w:lineRule="auto"/>
        <w:rPr>
          <w:rFonts w:cstheme="minorBidi"/>
        </w:rPr>
      </w:pPr>
      <w:r>
        <w:t>your television equipment is working correctly;</w:t>
      </w:r>
    </w:p>
    <w:p w14:paraId="45A91FD1" w14:textId="77777777" w:rsidR="00C21A66" w:rsidRDefault="00C21A66">
      <w:pPr>
        <w:pStyle w:val="ListBullet"/>
        <w:numPr>
          <w:ilvl w:val="0"/>
          <w:numId w:val="13"/>
        </w:numPr>
        <w:spacing w:after="60" w:line="259" w:lineRule="auto"/>
        <w:rPr>
          <w:rFonts w:cstheme="minorBidi"/>
        </w:rPr>
      </w:pPr>
      <w:r>
        <w:t>your GTU, internal wiring, sockets and connections are in working order; and</w:t>
      </w:r>
    </w:p>
    <w:p w14:paraId="043674EA" w14:textId="77777777" w:rsidR="00C21A66" w:rsidRDefault="00C21A66">
      <w:pPr>
        <w:pStyle w:val="ListBullet"/>
        <w:numPr>
          <w:ilvl w:val="0"/>
          <w:numId w:val="13"/>
        </w:numPr>
        <w:spacing w:after="60" w:line="259" w:lineRule="auto"/>
        <w:rPr>
          <w:rFonts w:cstheme="minorBidi"/>
        </w:rPr>
      </w:pPr>
      <w:r>
        <w:t>the fault appears to originate from the communal TV/satellite system,</w:t>
      </w:r>
    </w:p>
    <w:p w14:paraId="382FDC45" w14:textId="77777777" w:rsidR="00C21A66" w:rsidRDefault="00C21A66">
      <w:pPr>
        <w:rPr>
          <w:rFonts w:cstheme="minorBidi"/>
          <w:sz w:val="52"/>
          <w:szCs w:val="52"/>
        </w:rPr>
      </w:pPr>
      <w:r>
        <w:t>you should ask the contractor to provide a written report confirming their findings.</w:t>
      </w:r>
    </w:p>
    <w:p w14:paraId="1F2223CD" w14:textId="77777777" w:rsidR="00C21A66" w:rsidRDefault="00C21A66">
      <w:pPr>
        <w:pStyle w:val="GuideSubheading"/>
        <w:spacing w:before="180" w:after="90"/>
        <w:rPr>
          <w:rFonts w:cstheme="minorBidi"/>
          <w:sz w:val="52"/>
          <w:szCs w:val="52"/>
        </w:rPr>
      </w:pPr>
      <w:r>
        <w:t>Step 3 – Contact Warwick Estates</w:t>
      </w:r>
    </w:p>
    <w:p w14:paraId="7BC4360D" w14:textId="77777777" w:rsidR="00C21A66" w:rsidRDefault="00C21A66">
      <w:pPr>
        <w:rPr>
          <w:rFonts w:cstheme="minorBidi"/>
          <w:sz w:val="52"/>
          <w:szCs w:val="52"/>
        </w:rPr>
      </w:pPr>
      <w:r>
        <w:t>Only once you have this report should the issue be reported to Warwick Estates through the Warwick Estates customer portal/ticket system.</w:t>
      </w:r>
    </w:p>
    <w:p w14:paraId="315A94F9" w14:textId="77777777" w:rsidR="00C21A66" w:rsidRDefault="00C21A66">
      <w:pPr>
        <w:rPr>
          <w:rFonts w:cstheme="minorBidi"/>
          <w:sz w:val="52"/>
          <w:szCs w:val="52"/>
        </w:rPr>
      </w:pPr>
      <w:r>
        <w:t>Please attach or provide the contractor's report when raising the ticket.</w:t>
      </w:r>
    </w:p>
    <w:p w14:paraId="7B11DEDC" w14:textId="77777777" w:rsidR="00C21A66" w:rsidRDefault="00C21A66">
      <w:pPr>
        <w:rPr>
          <w:rFonts w:cstheme="minorBidi"/>
          <w:sz w:val="52"/>
          <w:szCs w:val="52"/>
        </w:rPr>
      </w:pPr>
      <w:r>
        <w:t>Warwick Estates will only arrange investigation of the communal FIRS where evidence has first been provided that the fault is not within the individual property.</w:t>
      </w:r>
    </w:p>
    <w:p w14:paraId="779F85EB" w14:textId="77777777" w:rsidR="00C21A66" w:rsidRDefault="00C21A66">
      <w:pPr>
        <w:rPr>
          <w:rFonts w:cstheme="minorBidi"/>
          <w:sz w:val="52"/>
          <w:szCs w:val="52"/>
        </w:rPr>
      </w:pPr>
      <w:r>
        <w:t>This procedure is intended to avoid communal service-charge funds being used to investigate faults which are caused by an individual property's television, remote control, internal cabling, connections or other equipment.</w:t>
      </w:r>
    </w:p>
    <w:p w14:paraId="3DE18D12" w14:textId="77777777" w:rsidR="00C21A66" w:rsidRDefault="00C21A66">
      <w:pPr>
        <w:pStyle w:val="GuideHeading"/>
        <w:rPr>
          <w:rFonts w:cstheme="minorBidi"/>
          <w:sz w:val="52"/>
          <w:szCs w:val="52"/>
        </w:rPr>
      </w:pPr>
      <w:r>
        <w:t>Access to the communal TV equipment</w:t>
      </w:r>
    </w:p>
    <w:p w14:paraId="10EDB965" w14:textId="77777777" w:rsidR="00C21A66" w:rsidRDefault="00C21A66">
      <w:pPr>
        <w:rPr>
          <w:rFonts w:cstheme="minorBidi"/>
          <w:sz w:val="52"/>
          <w:szCs w:val="52"/>
        </w:rPr>
      </w:pPr>
      <w:r>
        <w:t>Residents and their contractors must not access or carry out work on the communal TV distribution equipment without written permission from Warwick Estates.</w:t>
      </w:r>
    </w:p>
    <w:p w14:paraId="0AEE009B" w14:textId="77777777" w:rsidR="00C21A66" w:rsidRDefault="00C21A66">
      <w:pPr>
        <w:rPr>
          <w:rFonts w:cstheme="minorBidi"/>
          <w:sz w:val="52"/>
          <w:szCs w:val="52"/>
        </w:rPr>
      </w:pPr>
      <w:r>
        <w:t>Written permission must be obtained before any TV provider, engineer or other tradesperson is allowed access to equipment forming part of the communal TV system.</w:t>
      </w:r>
    </w:p>
    <w:p w14:paraId="6799F487" w14:textId="77777777" w:rsidR="00C21A66" w:rsidRDefault="00C21A66">
      <w:pPr>
        <w:rPr>
          <w:rFonts w:cstheme="minorBidi"/>
          <w:sz w:val="52"/>
          <w:szCs w:val="52"/>
        </w:rPr>
      </w:pPr>
      <w:r>
        <w:t>If you are new to The Old Meadow and wish to install services such as Sky or Sky Q, and intend to employ your own TV engineer, you should contact Warwick Estates beforehand to:</w:t>
      </w:r>
    </w:p>
    <w:p w14:paraId="1846BE0E" w14:textId="77777777" w:rsidR="00C21A66" w:rsidRDefault="00C21A66">
      <w:pPr>
        <w:pStyle w:val="ListBullet"/>
        <w:numPr>
          <w:ilvl w:val="0"/>
          <w:numId w:val="13"/>
        </w:numPr>
        <w:spacing w:after="60" w:line="259" w:lineRule="auto"/>
        <w:rPr>
          <w:rFonts w:cstheme="minorBidi"/>
        </w:rPr>
      </w:pPr>
      <w:r>
        <w:t>obtain written permission for your contractor to access the communal equipment; and</w:t>
      </w:r>
    </w:p>
    <w:p w14:paraId="6CF5DED9" w14:textId="77777777" w:rsidR="00C21A66" w:rsidRDefault="00C21A66">
      <w:pPr>
        <w:pStyle w:val="ListBullet"/>
        <w:numPr>
          <w:ilvl w:val="0"/>
          <w:numId w:val="13"/>
        </w:numPr>
        <w:spacing w:after="60" w:line="259" w:lineRule="auto"/>
        <w:rPr>
          <w:rFonts w:cstheme="minorBidi"/>
        </w:rPr>
      </w:pPr>
      <w:r>
        <w:t>obtain approval for any proposed works affecting the communal system.</w:t>
      </w:r>
    </w:p>
    <w:p w14:paraId="2F731AC7" w14:textId="77777777" w:rsidR="00C21A66" w:rsidRDefault="00C21A66">
      <w:pPr>
        <w:rPr>
          <w:rFonts w:cstheme="minorBidi"/>
          <w:sz w:val="52"/>
          <w:szCs w:val="52"/>
        </w:rPr>
      </w:pPr>
      <w:r>
        <w:t>Unauthorised works or alterations to the communal TV system are not permitted.</w:t>
      </w:r>
    </w:p>
    <w:p w14:paraId="6DD70601" w14:textId="77777777" w:rsidR="00C21A66" w:rsidRDefault="00C21A66">
      <w:r>
        <w:t>Where damage, faults or other problems arise because of unauthorised work carried out by or on behalf of a resident, the associated costs will be charged to that resident/property owner.</w:t>
      </w:r>
    </w:p>
    <w:sectPr w:rsidR="00C21A66" w:rsidSect="00C21A66">
      <w:pgSz w:w="12240" w:h="15840"/>
      <w:pgMar w:top="936"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7A53" w14:textId="77777777" w:rsidR="00C21A66" w:rsidRDefault="00C21A66">
      <w:pPr>
        <w:spacing w:after="0" w:line="240" w:lineRule="auto"/>
        <w:rPr>
          <w:rFonts w:cstheme="minorBidi"/>
        </w:rPr>
      </w:pPr>
      <w:r>
        <w:rPr>
          <w:rFonts w:cstheme="minorBidi"/>
        </w:rPr>
        <w:separator/>
      </w:r>
    </w:p>
  </w:endnote>
  <w:endnote w:type="continuationSeparator" w:id="0">
    <w:p w14:paraId="651242A5" w14:textId="77777777" w:rsidR="00C21A66" w:rsidRDefault="00C21A66">
      <w:pPr>
        <w:spacing w:after="0" w:line="240" w:lineRule="auto"/>
        <w:rPr>
          <w:rFonts w:cstheme="minorBidi"/>
        </w:rPr>
      </w:pPr>
      <w:r>
        <w:rPr>
          <w:rFonts w:cstheme="minorBid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notTrueType/>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4810C" w14:textId="77777777" w:rsidR="00C21A66" w:rsidRDefault="00C21A66">
      <w:pPr>
        <w:spacing w:after="0" w:line="240" w:lineRule="auto"/>
        <w:rPr>
          <w:rFonts w:cstheme="minorBidi"/>
        </w:rPr>
      </w:pPr>
      <w:r>
        <w:rPr>
          <w:rFonts w:cstheme="minorBidi"/>
        </w:rPr>
        <w:separator/>
      </w:r>
    </w:p>
  </w:footnote>
  <w:footnote w:type="continuationSeparator" w:id="0">
    <w:p w14:paraId="02661481" w14:textId="77777777" w:rsidR="00C21A66" w:rsidRDefault="00C21A66">
      <w:pPr>
        <w:spacing w:after="0" w:line="240" w:lineRule="auto"/>
        <w:rPr>
          <w:rFonts w:cstheme="minorBidi"/>
        </w:rPr>
      </w:pPr>
      <w:r>
        <w:rPr>
          <w:rFonts w:cstheme="minorBid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Times New Roman" w:hAnsi="Times New Roman" w:cs="Times New Roman"/>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Times New Roman" w:hAnsi="Times New Roman" w:cs="Times New Roman"/>
      </w:rPr>
    </w:lvl>
  </w:abstractNum>
  <w:abstractNum w:abstractNumId="2" w15:restartNumberingAfterBreak="0">
    <w:nsid w:val="FFFFFF7E"/>
    <w:multiLevelType w:val="singleLevel"/>
    <w:tmpl w:val="FB12693A"/>
    <w:lvl w:ilvl="0">
      <w:start w:val="1"/>
      <w:numFmt w:val="decimal"/>
      <w:pStyle w:val="ListNumber2"/>
      <w:lvlText w:val="%1."/>
      <w:lvlJc w:val="left"/>
      <w:pPr>
        <w:tabs>
          <w:tab w:val="num" w:pos="1080"/>
        </w:tabs>
        <w:ind w:left="1080" w:hanging="360"/>
      </w:pPr>
      <w:rPr>
        <w:rFonts w:ascii="Times New Roman" w:hAnsi="Times New Roman" w:cs="Times New Roman"/>
      </w:rPr>
    </w:lvl>
  </w:abstractNum>
  <w:abstractNum w:abstractNumId="3" w15:restartNumberingAfterBreak="0">
    <w:nsid w:val="FFFFFF7F"/>
    <w:multiLevelType w:val="singleLevel"/>
    <w:tmpl w:val="38441652"/>
    <w:lvl w:ilvl="0">
      <w:start w:val="1"/>
      <w:numFmt w:val="decimal"/>
      <w:pStyle w:val="ListNumber"/>
      <w:lvlText w:val="%1."/>
      <w:lvlJc w:val="left"/>
      <w:pPr>
        <w:tabs>
          <w:tab w:val="num" w:pos="720"/>
        </w:tabs>
        <w:ind w:left="720" w:hanging="360"/>
      </w:pPr>
      <w:rPr>
        <w:rFonts w:ascii="Times New Roman" w:hAnsi="Times New Roman" w:cs="Times New Roman"/>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cs="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rPr>
        <w:rFonts w:ascii="Times New Roman" w:hAnsi="Times New Roman" w:cs="Times New Roman"/>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cs="Symbol" w:hint="default"/>
      </w:rPr>
    </w:lvl>
  </w:abstractNum>
  <w:num w:numId="1" w16cid:durableId="640426663">
    <w:abstractNumId w:val="8"/>
  </w:num>
  <w:num w:numId="2" w16cid:durableId="1843935519">
    <w:abstractNumId w:val="6"/>
  </w:num>
  <w:num w:numId="3" w16cid:durableId="100225939">
    <w:abstractNumId w:val="5"/>
  </w:num>
  <w:num w:numId="4" w16cid:durableId="1001156834">
    <w:abstractNumId w:val="7"/>
  </w:num>
  <w:num w:numId="5" w16cid:durableId="1271662270">
    <w:abstractNumId w:val="3"/>
  </w:num>
  <w:num w:numId="6" w16cid:durableId="156313329">
    <w:abstractNumId w:val="2"/>
  </w:num>
  <w:num w:numId="7" w16cid:durableId="1650087491">
    <w:abstractNumId w:val="8"/>
  </w:num>
  <w:num w:numId="8" w16cid:durableId="1469396536">
    <w:abstractNumId w:val="6"/>
  </w:num>
  <w:num w:numId="9" w16cid:durableId="1972393377">
    <w:abstractNumId w:val="5"/>
  </w:num>
  <w:num w:numId="10" w16cid:durableId="1660690222">
    <w:abstractNumId w:val="7"/>
  </w:num>
  <w:num w:numId="11" w16cid:durableId="442724618">
    <w:abstractNumId w:val="3"/>
  </w:num>
  <w:num w:numId="12" w16cid:durableId="415639847">
    <w:abstractNumId w:val="2"/>
  </w:num>
  <w:num w:numId="13" w16cid:durableId="30344839">
    <w:abstractNumId w:val="8"/>
  </w:num>
  <w:num w:numId="14" w16cid:durableId="692919320">
    <w:abstractNumId w:val="6"/>
  </w:num>
  <w:num w:numId="15" w16cid:durableId="398942376">
    <w:abstractNumId w:val="5"/>
  </w:num>
  <w:num w:numId="16" w16cid:durableId="379597232">
    <w:abstractNumId w:val="4"/>
  </w:num>
  <w:num w:numId="17" w16cid:durableId="78406116">
    <w:abstractNumId w:val="7"/>
  </w:num>
  <w:num w:numId="18" w16cid:durableId="1925724406">
    <w:abstractNumId w:val="3"/>
  </w:num>
  <w:num w:numId="19" w16cid:durableId="1385525877">
    <w:abstractNumId w:val="2"/>
  </w:num>
  <w:num w:numId="20" w16cid:durableId="1119833190">
    <w:abstractNumId w:val="1"/>
  </w:num>
  <w:num w:numId="21" w16cid:durableId="8396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revisionView w:inkAnnotations="0"/>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A66"/>
    <w:rsid w:val="00AA5813"/>
    <w:rsid w:val="00C21A66"/>
    <w:rsid w:val="00FE3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97A90A6"/>
  <w15:docId w15:val="{FF4D1503-C6C4-5145-83E7-2BD26E03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unhideWhenUsed="1"/>
    <w:lsdException w:name="List 5" w:semiHidden="1" w:unhideWhenUsed="1"/>
    <w:lsdException w:name="List Bullet 2" w:semiHidden="1"/>
    <w:lsdException w:name="List Bullet 3" w:semiHidden="1"/>
    <w:lsdException w:name="List Bullet 4" w:semiHidden="1" w:unhideWhenUsed="1"/>
    <w:lsdException w:name="List Bullet 5" w:semiHidden="1" w:unhideWhenUsed="1"/>
    <w:lsdException w:name="List Number 2" w:semiHidden="1"/>
    <w:lsdException w:name="List Number 3" w:semiHidden="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lsdException w:name="List Continue 2" w:semiHidden="1"/>
    <w:lsdException w:name="List Continue 3" w:semiHidden="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MS Mincho" w:hAnsi="Arial" w:cs="Arial"/>
      <w:lang w:val="en-US" w:eastAsia="en-US"/>
    </w:rPr>
  </w:style>
  <w:style w:type="paragraph" w:styleId="Heading1">
    <w:name w:val="heading 1"/>
    <w:basedOn w:val="Normal"/>
    <w:next w:val="Normal"/>
    <w:link w:val="Heading1Char"/>
    <w:uiPriority w:val="99"/>
    <w:qFormat/>
    <w:pPr>
      <w:keepNext/>
      <w:keepLines/>
      <w:spacing w:before="480" w:after="0"/>
      <w:outlineLvl w:val="0"/>
    </w:pPr>
    <w:rPr>
      <w:rFonts w:ascii="Calibri" w:eastAsia="MS Gothic" w:hAnsi="Calibri" w:cs="Calibri"/>
      <w:b/>
      <w:bCs/>
      <w:sz w:val="28"/>
      <w:szCs w:val="28"/>
    </w:rPr>
  </w:style>
  <w:style w:type="paragraph" w:styleId="Heading2">
    <w:name w:val="heading 2"/>
    <w:basedOn w:val="Normal"/>
    <w:next w:val="Normal"/>
    <w:link w:val="Heading2Char"/>
    <w:uiPriority w:val="99"/>
    <w:qFormat/>
    <w:pPr>
      <w:keepNext/>
      <w:keepLines/>
      <w:spacing w:before="200" w:after="0"/>
      <w:outlineLvl w:val="1"/>
    </w:pPr>
    <w:rPr>
      <w:rFonts w:ascii="Calibri" w:eastAsia="MS Gothic" w:hAnsi="Calibri" w:cs="Calibri"/>
      <w:b/>
      <w:bCs/>
      <w:sz w:val="26"/>
      <w:szCs w:val="26"/>
    </w:rPr>
  </w:style>
  <w:style w:type="paragraph" w:styleId="Heading3">
    <w:name w:val="heading 3"/>
    <w:basedOn w:val="Normal"/>
    <w:next w:val="Normal"/>
    <w:link w:val="Heading3Char"/>
    <w:uiPriority w:val="99"/>
    <w:qFormat/>
    <w:pPr>
      <w:keepNext/>
      <w:keepLines/>
      <w:spacing w:before="200" w:after="0"/>
      <w:outlineLvl w:val="2"/>
    </w:pPr>
    <w:rPr>
      <w:rFonts w:ascii="Calibri" w:eastAsia="MS Gothic" w:hAnsi="Calibri" w:cs="Calibri"/>
      <w:b/>
      <w:bCs/>
    </w:rPr>
  </w:style>
  <w:style w:type="paragraph" w:styleId="Heading4">
    <w:name w:val="heading 4"/>
    <w:basedOn w:val="Normal"/>
    <w:next w:val="Normal"/>
    <w:link w:val="Heading4Char"/>
    <w:uiPriority w:val="99"/>
    <w:qFormat/>
    <w:pPr>
      <w:keepNext/>
      <w:keepLines/>
      <w:spacing w:before="200" w:after="0"/>
      <w:outlineLvl w:val="3"/>
    </w:pPr>
    <w:rPr>
      <w:rFonts w:ascii="Calibri" w:eastAsia="MS Gothic" w:hAnsi="Calibri" w:cs="Calibri"/>
      <w:b/>
      <w:bCs/>
      <w:i/>
      <w:iCs/>
    </w:rPr>
  </w:style>
  <w:style w:type="paragraph" w:styleId="Heading5">
    <w:name w:val="heading 5"/>
    <w:basedOn w:val="Normal"/>
    <w:next w:val="Normal"/>
    <w:link w:val="Heading5Char"/>
    <w:uiPriority w:val="99"/>
    <w:qFormat/>
    <w:pPr>
      <w:keepNext/>
      <w:keepLines/>
      <w:spacing w:before="200" w:after="0"/>
      <w:outlineLvl w:val="4"/>
    </w:pPr>
    <w:rPr>
      <w:rFonts w:ascii="Calibri" w:eastAsia="MS Gothic" w:hAnsi="Calibri" w:cs="Calibri"/>
    </w:rPr>
  </w:style>
  <w:style w:type="paragraph" w:styleId="Heading6">
    <w:name w:val="heading 6"/>
    <w:basedOn w:val="Normal"/>
    <w:next w:val="Normal"/>
    <w:link w:val="Heading6Char"/>
    <w:uiPriority w:val="99"/>
    <w:qFormat/>
    <w:pPr>
      <w:keepNext/>
      <w:keepLines/>
      <w:spacing w:before="200" w:after="0"/>
      <w:outlineLvl w:val="5"/>
    </w:pPr>
    <w:rPr>
      <w:rFonts w:ascii="Calibri" w:eastAsia="MS Gothic" w:hAnsi="Calibri" w:cs="Calibri"/>
      <w:i/>
      <w:iCs/>
    </w:rPr>
  </w:style>
  <w:style w:type="paragraph" w:styleId="Heading7">
    <w:name w:val="heading 7"/>
    <w:basedOn w:val="Normal"/>
    <w:next w:val="Normal"/>
    <w:link w:val="Heading7Char"/>
    <w:uiPriority w:val="99"/>
    <w:qFormat/>
    <w:pPr>
      <w:keepNext/>
      <w:keepLines/>
      <w:spacing w:before="200" w:after="0"/>
      <w:outlineLvl w:val="6"/>
    </w:pPr>
    <w:rPr>
      <w:rFonts w:ascii="Calibri" w:eastAsia="MS Gothic" w:hAnsi="Calibri" w:cs="Calibri"/>
      <w:i/>
      <w:iCs/>
    </w:rPr>
  </w:style>
  <w:style w:type="paragraph" w:styleId="Heading8">
    <w:name w:val="heading 8"/>
    <w:basedOn w:val="Normal"/>
    <w:next w:val="Normal"/>
    <w:link w:val="Heading8Char"/>
    <w:uiPriority w:val="99"/>
    <w:qFormat/>
    <w:pPr>
      <w:keepNext/>
      <w:keepLines/>
      <w:spacing w:before="200" w:after="0"/>
      <w:outlineLvl w:val="7"/>
    </w:pPr>
    <w:rPr>
      <w:rFonts w:ascii="Calibri" w:eastAsia="MS Gothic" w:hAnsi="Calibri" w:cs="Calibri"/>
      <w:sz w:val="20"/>
      <w:szCs w:val="20"/>
    </w:rPr>
  </w:style>
  <w:style w:type="paragraph" w:styleId="Heading9">
    <w:name w:val="heading 9"/>
    <w:basedOn w:val="Normal"/>
    <w:next w:val="Normal"/>
    <w:link w:val="Heading9Char"/>
    <w:uiPriority w:val="99"/>
    <w:qFormat/>
    <w:pPr>
      <w:keepNext/>
      <w:keepLines/>
      <w:spacing w:before="200" w:after="0"/>
      <w:outlineLvl w:val="8"/>
    </w:pPr>
    <w:rPr>
      <w:rFonts w:ascii="Calibri" w:eastAsia="MS Gothic" w:hAnsi="Calibri" w:cs="Calibr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w:eastAsia="MS Gothic" w:hAnsi="Calibri" w:cs="Calibri"/>
      <w:b/>
      <w:bCs/>
      <w:color w:val="auto"/>
      <w:sz w:val="28"/>
      <w:szCs w:val="28"/>
    </w:rPr>
  </w:style>
  <w:style w:type="character" w:customStyle="1" w:styleId="Heading2Char">
    <w:name w:val="Heading 2 Char"/>
    <w:basedOn w:val="DefaultParagraphFont"/>
    <w:link w:val="Heading2"/>
    <w:uiPriority w:val="99"/>
    <w:rPr>
      <w:rFonts w:ascii="Calibri" w:eastAsia="MS Gothic" w:hAnsi="Calibri" w:cs="Calibri"/>
      <w:b/>
      <w:bCs/>
      <w:color w:val="auto"/>
      <w:sz w:val="26"/>
      <w:szCs w:val="26"/>
    </w:rPr>
  </w:style>
  <w:style w:type="character" w:customStyle="1" w:styleId="Heading3Char">
    <w:name w:val="Heading 3 Char"/>
    <w:basedOn w:val="DefaultParagraphFont"/>
    <w:link w:val="Heading3"/>
    <w:uiPriority w:val="99"/>
    <w:rPr>
      <w:rFonts w:ascii="Calibri" w:eastAsia="MS Gothic" w:hAnsi="Calibri" w:cs="Calibri"/>
      <w:b/>
      <w:bCs/>
      <w:color w:val="auto"/>
    </w:rPr>
  </w:style>
  <w:style w:type="character" w:customStyle="1" w:styleId="Heading4Char">
    <w:name w:val="Heading 4 Char"/>
    <w:basedOn w:val="DefaultParagraphFont"/>
    <w:link w:val="Heading4"/>
    <w:uiPriority w:val="99"/>
    <w:rPr>
      <w:rFonts w:ascii="Calibri" w:eastAsia="MS Gothic" w:hAnsi="Calibri" w:cs="Calibri"/>
      <w:b/>
      <w:bCs/>
      <w:i/>
      <w:iCs/>
      <w:color w:val="auto"/>
    </w:rPr>
  </w:style>
  <w:style w:type="character" w:customStyle="1" w:styleId="Heading5Char">
    <w:name w:val="Heading 5 Char"/>
    <w:basedOn w:val="DefaultParagraphFont"/>
    <w:link w:val="Heading5"/>
    <w:uiPriority w:val="99"/>
    <w:rPr>
      <w:rFonts w:ascii="Calibri" w:eastAsia="MS Gothic" w:hAnsi="Calibri" w:cs="Calibri"/>
      <w:color w:val="auto"/>
    </w:rPr>
  </w:style>
  <w:style w:type="character" w:customStyle="1" w:styleId="Heading6Char">
    <w:name w:val="Heading 6 Char"/>
    <w:basedOn w:val="DefaultParagraphFont"/>
    <w:link w:val="Heading6"/>
    <w:uiPriority w:val="99"/>
    <w:rPr>
      <w:rFonts w:ascii="Calibri" w:eastAsia="MS Gothic" w:hAnsi="Calibri" w:cs="Calibri"/>
      <w:i/>
      <w:iCs/>
      <w:color w:val="auto"/>
    </w:rPr>
  </w:style>
  <w:style w:type="character" w:customStyle="1" w:styleId="Heading7Char">
    <w:name w:val="Heading 7 Char"/>
    <w:basedOn w:val="DefaultParagraphFont"/>
    <w:link w:val="Heading7"/>
    <w:uiPriority w:val="99"/>
    <w:rPr>
      <w:rFonts w:ascii="Calibri" w:eastAsia="MS Gothic" w:hAnsi="Calibri" w:cs="Calibri"/>
      <w:i/>
      <w:iCs/>
      <w:color w:val="auto"/>
    </w:rPr>
  </w:style>
  <w:style w:type="character" w:customStyle="1" w:styleId="Heading8Char">
    <w:name w:val="Heading 8 Char"/>
    <w:basedOn w:val="DefaultParagraphFont"/>
    <w:link w:val="Heading8"/>
    <w:uiPriority w:val="99"/>
    <w:rPr>
      <w:rFonts w:ascii="Calibri" w:eastAsia="MS Gothic" w:hAnsi="Calibri" w:cs="Calibri"/>
      <w:color w:val="auto"/>
      <w:sz w:val="20"/>
      <w:szCs w:val="20"/>
    </w:rPr>
  </w:style>
  <w:style w:type="character" w:customStyle="1" w:styleId="Heading9Char">
    <w:name w:val="Heading 9 Char"/>
    <w:basedOn w:val="DefaultParagraphFont"/>
    <w:link w:val="Heading9"/>
    <w:uiPriority w:val="99"/>
    <w:rPr>
      <w:rFonts w:ascii="Calibri" w:eastAsia="MS Gothic" w:hAnsi="Calibri" w:cs="Calibri"/>
      <w:i/>
      <w:iCs/>
      <w:color w:val="auto"/>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NoSpacing">
    <w:name w:val="No Spacing"/>
    <w:uiPriority w:val="99"/>
    <w:qFormat/>
    <w:rPr>
      <w:rFonts w:ascii="Cambria" w:eastAsia="MS Mincho" w:hAnsi="Cambria" w:cs="Cambria"/>
      <w:lang w:val="en-US" w:eastAsia="en-US"/>
    </w:rPr>
  </w:style>
  <w:style w:type="paragraph" w:styleId="Title">
    <w:name w:val="Title"/>
    <w:basedOn w:val="Normal"/>
    <w:next w:val="Normal"/>
    <w:link w:val="TitleChar"/>
    <w:uiPriority w:val="99"/>
    <w:qFormat/>
    <w:pPr>
      <w:pBdr>
        <w:bottom w:val="single" w:sz="8" w:space="4" w:color="auto"/>
      </w:pBdr>
      <w:spacing w:after="300" w:line="240" w:lineRule="auto"/>
    </w:pPr>
    <w:rPr>
      <w:rFonts w:ascii="Calibri" w:eastAsia="MS Gothic" w:hAnsi="Calibri" w:cs="Calibri"/>
      <w:spacing w:val="5"/>
      <w:kern w:val="28"/>
      <w:sz w:val="52"/>
      <w:szCs w:val="52"/>
    </w:rPr>
  </w:style>
  <w:style w:type="character" w:customStyle="1" w:styleId="TitleChar">
    <w:name w:val="Title Char"/>
    <w:basedOn w:val="DefaultParagraphFont"/>
    <w:link w:val="Title"/>
    <w:uiPriority w:val="99"/>
    <w:rPr>
      <w:rFonts w:ascii="Calibri" w:eastAsia="MS Gothic" w:hAnsi="Calibri" w:cs="Calibri"/>
      <w:color w:val="auto"/>
      <w:spacing w:val="5"/>
      <w:kern w:val="28"/>
      <w:sz w:val="52"/>
      <w:szCs w:val="52"/>
    </w:rPr>
  </w:style>
  <w:style w:type="paragraph" w:styleId="Subtitle">
    <w:name w:val="Subtitle"/>
    <w:basedOn w:val="Normal"/>
    <w:next w:val="Normal"/>
    <w:link w:val="SubtitleChar"/>
    <w:uiPriority w:val="99"/>
    <w:qFormat/>
    <w:pPr>
      <w:numPr>
        <w:ilvl w:val="1"/>
      </w:numPr>
    </w:pPr>
    <w:rPr>
      <w:rFonts w:ascii="Calibri" w:eastAsia="MS Gothic" w:hAnsi="Calibri" w:cs="Calibri"/>
      <w:i/>
      <w:iCs/>
      <w:spacing w:val="15"/>
      <w:sz w:val="24"/>
      <w:szCs w:val="24"/>
    </w:rPr>
  </w:style>
  <w:style w:type="character" w:customStyle="1" w:styleId="SubtitleChar">
    <w:name w:val="Subtitle Char"/>
    <w:basedOn w:val="DefaultParagraphFont"/>
    <w:link w:val="Subtitle"/>
    <w:uiPriority w:val="99"/>
    <w:rPr>
      <w:rFonts w:ascii="Calibri" w:eastAsia="MS Gothic" w:hAnsi="Calibri" w:cs="Calibri"/>
      <w:i/>
      <w:iCs/>
      <w:color w:val="auto"/>
      <w:spacing w:val="15"/>
      <w:sz w:val="24"/>
      <w:szCs w:val="24"/>
    </w:rPr>
  </w:style>
  <w:style w:type="paragraph" w:styleId="ListParagraph">
    <w:name w:val="List Paragraph"/>
    <w:basedOn w:val="Normal"/>
    <w:uiPriority w:val="99"/>
    <w:qFormat/>
    <w:pPr>
      <w:ind w:left="720"/>
    </w:p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rPr>
      <w:rFonts w:ascii="Times New Roman" w:hAnsi="Times New Roman" w:cs="Times New Roman"/>
    </w:r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rPr>
      <w:rFonts w:ascii="Times New Roman" w:hAnsi="Times New Roman" w:cs="Times New Roman"/>
    </w:rPr>
  </w:style>
  <w:style w:type="paragraph" w:styleId="BodyText3">
    <w:name w:val="Body Text 3"/>
    <w:basedOn w:val="Normal"/>
    <w:link w:val="BodyText3Char"/>
    <w:uiPriority w:val="99"/>
    <w:rPr>
      <w:sz w:val="16"/>
      <w:szCs w:val="16"/>
    </w:rPr>
  </w:style>
  <w:style w:type="character" w:customStyle="1" w:styleId="BodyText3Char">
    <w:name w:val="Body Text 3 Char"/>
    <w:basedOn w:val="DefaultParagraphFont"/>
    <w:link w:val="BodyText3"/>
    <w:uiPriority w:val="99"/>
    <w:rPr>
      <w:rFonts w:ascii="Times New Roman" w:hAnsi="Times New Roman" w:cs="Times New Roman"/>
      <w:sz w:val="16"/>
      <w:szCs w:val="16"/>
    </w:rPr>
  </w:style>
  <w:style w:type="paragraph" w:styleId="List">
    <w:name w:val="List"/>
    <w:basedOn w:val="Normal"/>
    <w:uiPriority w:val="99"/>
    <w:pPr>
      <w:ind w:left="360" w:hanging="360"/>
    </w:pPr>
  </w:style>
  <w:style w:type="paragraph" w:styleId="List2">
    <w:name w:val="List 2"/>
    <w:basedOn w:val="Normal"/>
    <w:uiPriority w:val="99"/>
    <w:pPr>
      <w:ind w:left="720" w:hanging="360"/>
    </w:pPr>
  </w:style>
  <w:style w:type="paragraph" w:styleId="List3">
    <w:name w:val="List 3"/>
    <w:basedOn w:val="Normal"/>
    <w:uiPriority w:val="99"/>
    <w:pPr>
      <w:ind w:left="1080" w:hanging="360"/>
    </w:pPr>
  </w:style>
  <w:style w:type="paragraph" w:styleId="ListBullet">
    <w:name w:val="List Bullet"/>
    <w:basedOn w:val="Normal"/>
    <w:autoRedefine/>
    <w:uiPriority w:val="99"/>
    <w:pPr>
      <w:numPr>
        <w:numId w:val="7"/>
      </w:numPr>
      <w:spacing w:after="50" w:line="252" w:lineRule="auto"/>
    </w:pPr>
  </w:style>
  <w:style w:type="paragraph" w:styleId="ListBullet2">
    <w:name w:val="List Bullet 2"/>
    <w:basedOn w:val="Normal"/>
    <w:autoRedefine/>
    <w:uiPriority w:val="99"/>
    <w:pPr>
      <w:numPr>
        <w:numId w:val="8"/>
      </w:numPr>
    </w:pPr>
  </w:style>
  <w:style w:type="paragraph" w:styleId="ListBullet3">
    <w:name w:val="List Bullet 3"/>
    <w:basedOn w:val="Normal"/>
    <w:autoRedefine/>
    <w:uiPriority w:val="99"/>
    <w:pPr>
      <w:numPr>
        <w:numId w:val="9"/>
      </w:numPr>
    </w:pPr>
  </w:style>
  <w:style w:type="paragraph" w:styleId="ListNumber">
    <w:name w:val="List Number"/>
    <w:basedOn w:val="Normal"/>
    <w:uiPriority w:val="99"/>
    <w:pPr>
      <w:numPr>
        <w:numId w:val="11"/>
      </w:numPr>
      <w:tabs>
        <w:tab w:val="clear" w:pos="720"/>
        <w:tab w:val="num" w:pos="360"/>
      </w:tabs>
      <w:spacing w:after="50" w:line="252" w:lineRule="auto"/>
      <w:ind w:left="360"/>
    </w:pPr>
  </w:style>
  <w:style w:type="paragraph" w:styleId="ListNumber2">
    <w:name w:val="List Number 2"/>
    <w:basedOn w:val="Normal"/>
    <w:uiPriority w:val="99"/>
    <w:pPr>
      <w:numPr>
        <w:numId w:val="12"/>
      </w:numPr>
      <w:tabs>
        <w:tab w:val="clear" w:pos="1080"/>
        <w:tab w:val="num" w:pos="720"/>
      </w:tabs>
      <w:ind w:left="720"/>
    </w:pPr>
  </w:style>
  <w:style w:type="paragraph" w:styleId="ListNumber3">
    <w:name w:val="List Number 3"/>
    <w:basedOn w:val="Normal"/>
    <w:uiPriority w:val="99"/>
    <w:pPr>
      <w:tabs>
        <w:tab w:val="num" w:pos="1080"/>
      </w:tabs>
      <w:ind w:left="1080" w:hanging="360"/>
    </w:pPr>
  </w:style>
  <w:style w:type="paragraph" w:styleId="ListContinue">
    <w:name w:val="List Continue"/>
    <w:basedOn w:val="Normal"/>
    <w:uiPriority w:val="99"/>
    <w:pPr>
      <w:ind w:left="360"/>
    </w:pPr>
  </w:style>
  <w:style w:type="paragraph" w:styleId="ListContinue2">
    <w:name w:val="List Continue 2"/>
    <w:basedOn w:val="Normal"/>
    <w:uiPriority w:val="99"/>
    <w:pPr>
      <w:ind w:left="720"/>
    </w:pPr>
  </w:style>
  <w:style w:type="paragraph" w:styleId="ListContinue3">
    <w:name w:val="List Continue 3"/>
    <w:basedOn w:val="Normal"/>
    <w:uiPriority w:val="99"/>
    <w:pPr>
      <w:ind w:left="1080"/>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Courier"/>
      <w:sz w:val="20"/>
      <w:szCs w:val="20"/>
      <w:lang w:val="en-US" w:eastAsia="en-US"/>
    </w:rPr>
  </w:style>
  <w:style w:type="character" w:customStyle="1" w:styleId="MacroTextChar">
    <w:name w:val="Macro Text Char"/>
    <w:basedOn w:val="DefaultParagraphFont"/>
    <w:link w:val="MacroText"/>
    <w:uiPriority w:val="99"/>
    <w:rPr>
      <w:rFonts w:ascii="Courier" w:hAnsi="Courier" w:cs="Courier"/>
      <w:lang w:val="en-US" w:eastAsia="en-US"/>
    </w:rPr>
  </w:style>
  <w:style w:type="paragraph" w:styleId="Quote">
    <w:name w:val="Quote"/>
    <w:basedOn w:val="Normal"/>
    <w:next w:val="Normal"/>
    <w:link w:val="QuoteChar"/>
    <w:uiPriority w:val="99"/>
    <w:qFormat/>
    <w:rPr>
      <w:i/>
      <w:iCs/>
      <w:color w:val="000000"/>
    </w:rPr>
  </w:style>
  <w:style w:type="character" w:customStyle="1" w:styleId="QuoteChar">
    <w:name w:val="Quote Char"/>
    <w:basedOn w:val="DefaultParagraphFont"/>
    <w:link w:val="Quote"/>
    <w:uiPriority w:val="99"/>
    <w:rPr>
      <w:rFonts w:ascii="Times New Roman" w:hAnsi="Times New Roman" w:cs="Times New Roman"/>
      <w:i/>
      <w:iCs/>
      <w:color w:val="000000"/>
    </w:rPr>
  </w:style>
  <w:style w:type="paragraph" w:styleId="Caption">
    <w:name w:val="caption"/>
    <w:basedOn w:val="Normal"/>
    <w:next w:val="Normal"/>
    <w:uiPriority w:val="99"/>
    <w:qFormat/>
    <w:pPr>
      <w:spacing w:line="240" w:lineRule="auto"/>
    </w:pPr>
    <w:rPr>
      <w:b/>
      <w:bCs/>
      <w:sz w:val="18"/>
      <w:szCs w:val="18"/>
    </w:rPr>
  </w:style>
  <w:style w:type="character" w:styleId="Strong">
    <w:name w:val="Strong"/>
    <w:basedOn w:val="DefaultParagraphFont"/>
    <w:uiPriority w:val="99"/>
    <w:qFormat/>
    <w:rPr>
      <w:rFonts w:ascii="Times New Roman" w:hAnsi="Times New Roman" w:cs="Times New Roman"/>
      <w:b/>
      <w:bCs/>
    </w:rPr>
  </w:style>
  <w:style w:type="character" w:styleId="Emphasis">
    <w:name w:val="Emphasis"/>
    <w:basedOn w:val="DefaultParagraphFont"/>
    <w:uiPriority w:val="99"/>
    <w:qFormat/>
    <w:rPr>
      <w:rFonts w:ascii="Times New Roman" w:hAnsi="Times New Roman" w:cs="Times New Roman"/>
      <w:i/>
      <w:iCs/>
    </w:rPr>
  </w:style>
  <w:style w:type="paragraph" w:styleId="IntenseQuote">
    <w:name w:val="Intense Quote"/>
    <w:basedOn w:val="Normal"/>
    <w:next w:val="Normal"/>
    <w:link w:val="IntenseQuoteChar"/>
    <w:uiPriority w:val="99"/>
    <w:qFormat/>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99"/>
    <w:rPr>
      <w:rFonts w:ascii="Times New Roman" w:hAnsi="Times New Roman" w:cs="Times New Roman"/>
      <w:b/>
      <w:bCs/>
      <w:i/>
      <w:iCs/>
      <w:color w:val="auto"/>
    </w:rPr>
  </w:style>
  <w:style w:type="character" w:styleId="SubtleEmphasis">
    <w:name w:val="Subtle Emphasis"/>
    <w:basedOn w:val="DefaultParagraphFont"/>
    <w:uiPriority w:val="99"/>
    <w:qFormat/>
    <w:rPr>
      <w:rFonts w:ascii="Times New Roman" w:hAnsi="Times New Roman" w:cs="Times New Roman"/>
      <w:i/>
      <w:iCs/>
      <w:color w:val="808080"/>
    </w:rPr>
  </w:style>
  <w:style w:type="character" w:styleId="IntenseEmphasis">
    <w:name w:val="Intense Emphasis"/>
    <w:basedOn w:val="DefaultParagraphFont"/>
    <w:uiPriority w:val="99"/>
    <w:qFormat/>
    <w:rPr>
      <w:rFonts w:ascii="Times New Roman" w:hAnsi="Times New Roman" w:cs="Times New Roman"/>
      <w:b/>
      <w:bCs/>
      <w:i/>
      <w:iCs/>
      <w:color w:val="auto"/>
    </w:rPr>
  </w:style>
  <w:style w:type="character" w:styleId="SubtleReference">
    <w:name w:val="Subtle Reference"/>
    <w:basedOn w:val="DefaultParagraphFont"/>
    <w:uiPriority w:val="99"/>
    <w:qFormat/>
    <w:rPr>
      <w:rFonts w:ascii="Times New Roman" w:hAnsi="Times New Roman" w:cs="Times New Roman"/>
      <w:smallCaps/>
      <w:color w:val="auto"/>
      <w:u w:val="single"/>
    </w:rPr>
  </w:style>
  <w:style w:type="character" w:styleId="IntenseReference">
    <w:name w:val="Intense Reference"/>
    <w:basedOn w:val="DefaultParagraphFont"/>
    <w:uiPriority w:val="99"/>
    <w:qFormat/>
    <w:rPr>
      <w:rFonts w:ascii="Times New Roman" w:hAnsi="Times New Roman" w:cs="Times New Roman"/>
      <w:b/>
      <w:bCs/>
      <w:smallCaps/>
      <w:color w:val="auto"/>
      <w:spacing w:val="5"/>
      <w:u w:val="single"/>
    </w:rPr>
  </w:style>
  <w:style w:type="character" w:styleId="BookTitle">
    <w:name w:val="Book Title"/>
    <w:basedOn w:val="DefaultParagraphFont"/>
    <w:uiPriority w:val="99"/>
    <w:qFormat/>
    <w:rPr>
      <w:rFonts w:ascii="Times New Roman" w:hAnsi="Times New Roman" w:cs="Times New Roman"/>
      <w:b/>
      <w:bCs/>
      <w:smallCaps/>
      <w:spacing w:val="5"/>
    </w:rPr>
  </w:style>
  <w:style w:type="paragraph" w:styleId="TOCHeading">
    <w:name w:val="TOC Heading"/>
    <w:basedOn w:val="Heading1"/>
    <w:next w:val="Normal"/>
    <w:uiPriority w:val="99"/>
    <w:qFormat/>
    <w:pPr>
      <w:outlineLvl w:val="9"/>
    </w:pPr>
  </w:style>
  <w:style w:type="paragraph" w:customStyle="1" w:styleId="GuideTitle">
    <w:name w:val="Guide Title"/>
    <w:uiPriority w:val="99"/>
    <w:pPr>
      <w:keepNext/>
      <w:spacing w:after="200" w:line="276" w:lineRule="auto"/>
    </w:pPr>
    <w:rPr>
      <w:rFonts w:ascii="Arial" w:eastAsia="MS Mincho" w:hAnsi="Arial" w:cs="Arial"/>
      <w:b/>
      <w:bCs/>
      <w:sz w:val="40"/>
      <w:szCs w:val="40"/>
      <w:lang w:val="en-US" w:eastAsia="en-US"/>
    </w:rPr>
  </w:style>
  <w:style w:type="paragraph" w:customStyle="1" w:styleId="GuideHeading">
    <w:name w:val="Guide Heading"/>
    <w:uiPriority w:val="99"/>
    <w:pPr>
      <w:keepNext/>
      <w:spacing w:before="200" w:after="100" w:line="276" w:lineRule="auto"/>
    </w:pPr>
    <w:rPr>
      <w:rFonts w:ascii="Arial" w:eastAsia="MS Mincho" w:hAnsi="Arial" w:cs="Arial"/>
      <w:b/>
      <w:bCs/>
      <w:sz w:val="27"/>
      <w:szCs w:val="27"/>
      <w:lang w:val="en-US" w:eastAsia="en-US"/>
    </w:rPr>
  </w:style>
  <w:style w:type="paragraph" w:customStyle="1" w:styleId="GuideSubheading">
    <w:name w:val="Guide Subheading"/>
    <w:uiPriority w:val="99"/>
    <w:pPr>
      <w:keepNext/>
      <w:spacing w:before="160" w:after="80" w:line="276" w:lineRule="auto"/>
    </w:pPr>
    <w:rPr>
      <w:rFonts w:ascii="Arial" w:eastAsia="MS Mincho" w:hAnsi="Arial" w:cs="Arial"/>
      <w:b/>
      <w:bCs/>
      <w:sz w:val="23"/>
      <w:szCs w:val="23"/>
      <w:lang w:val="en-US" w:eastAsia="en-US"/>
    </w:rPr>
  </w:style>
  <w:style w:type="paragraph" w:customStyle="1" w:styleId="GuideNoteHeading">
    <w:name w:val="Guide Note Heading"/>
    <w:uiPriority w:val="99"/>
    <w:pPr>
      <w:keepNext/>
      <w:spacing w:before="140" w:after="60" w:line="276" w:lineRule="auto"/>
    </w:pPr>
    <w:rPr>
      <w:rFonts w:ascii="Arial" w:eastAsia="MS Mincho" w:hAnsi="Arial" w:cs="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736</Words>
  <Characters>4196</Characters>
  <Application>Microsoft Office Word</Application>
  <DocSecurity>0</DocSecurity>
  <Lines>34</Lines>
  <Paragraphs>9</Paragraphs>
  <ScaleCrop>false</ScaleCrop>
  <Company>Hewlett-Packard Company</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 Satellite &amp; Aerial System – Resident Guide</dc:title>
  <dc:subject>Resident guide for The Old Meadow communal TV, satellite and aerial system</dc:subject>
  <dc:creator>python-docx</dc:creator>
  <cp:keywords/>
  <dc:description>generated by python-docx</dc:description>
  <cp:lastModifiedBy>Nikita Whitfield</cp:lastModifiedBy>
  <cp:revision>2</cp:revision>
  <dcterms:created xsi:type="dcterms:W3CDTF">2026-10-17T13:36:00Z</dcterms:created>
  <dcterms:modified xsi:type="dcterms:W3CDTF">2026-10-17T13:36:00Z</dcterms:modified>
</cp:coreProperties>
</file>